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黑体" w:hAnsi="黑体" w:eastAsia="黑体"/>
          <w:color w:val="auto"/>
        </w:rPr>
      </w:pPr>
      <w:r>
        <w:rPr>
          <w:rFonts w:hint="eastAsia" w:ascii="黑体" w:hAnsi="黑体" w:eastAsia="黑体"/>
          <w:color w:val="auto"/>
          <w:sz w:val="32"/>
          <w:szCs w:val="32"/>
        </w:rPr>
        <w:t>附件4</w:t>
      </w:r>
    </w:p>
    <w:p>
      <w:pPr>
        <w:adjustRightInd w:val="0"/>
        <w:snapToGrid w:val="0"/>
        <w:spacing w:line="700" w:lineRule="exact"/>
        <w:jc w:val="center"/>
        <w:rPr>
          <w:rFonts w:ascii="方正小标宋_GBK" w:hAnsi="方正小标宋_GBK" w:eastAsia="方正小标宋_GBK" w:cs="方正小标宋_GBK"/>
          <w:color w:val="auto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</w:rPr>
        <w:t>部门整体绩效自评报告</w:t>
      </w:r>
    </w:p>
    <w:p>
      <w:pPr>
        <w:adjustRightInd w:val="0"/>
        <w:snapToGrid w:val="0"/>
        <w:spacing w:line="560" w:lineRule="exact"/>
        <w:outlineLvl w:val="0"/>
        <w:rPr>
          <w:rFonts w:ascii="仿宋_GB2312"/>
          <w:b/>
          <w:bCs/>
          <w:color w:val="auto"/>
        </w:rPr>
      </w:pPr>
    </w:p>
    <w:p>
      <w:pPr>
        <w:adjustRightInd w:val="0"/>
        <w:spacing w:line="560" w:lineRule="exact"/>
        <w:ind w:firstLine="640" w:firstLineChars="200"/>
        <w:rPr>
          <w:rFonts w:ascii="黑体" w:hAnsi="黑体" w:eastAsia="黑体" w:cs="黑体"/>
          <w:bCs/>
          <w:color w:val="auto"/>
          <w:sz w:val="32"/>
          <w:szCs w:val="32"/>
        </w:rPr>
      </w:pPr>
      <w:r>
        <w:rPr>
          <w:rFonts w:hint="eastAsia" w:ascii="黑体" w:hAnsi="黑体" w:eastAsia="黑体" w:cs="黑体"/>
          <w:bCs/>
          <w:color w:val="auto"/>
          <w:sz w:val="32"/>
          <w:szCs w:val="32"/>
        </w:rPr>
        <w:t>一、基本情况</w:t>
      </w:r>
    </w:p>
    <w:p>
      <w:pPr>
        <w:adjustRightInd w:val="0"/>
        <w:spacing w:line="560" w:lineRule="exact"/>
        <w:ind w:firstLine="640" w:firstLineChars="200"/>
        <w:outlineLvl w:val="0"/>
        <w:rPr>
          <w:rFonts w:hint="eastAsia" w:ascii="仿宋_GB2312"/>
          <w:color w:val="auto"/>
          <w:sz w:val="32"/>
          <w:szCs w:val="32"/>
        </w:rPr>
      </w:pPr>
      <w:r>
        <w:rPr>
          <w:rFonts w:hint="eastAsia" w:ascii="仿宋_GB2312"/>
          <w:color w:val="auto"/>
          <w:sz w:val="32"/>
          <w:szCs w:val="32"/>
        </w:rPr>
        <w:t>（一）</w:t>
      </w:r>
      <w:r>
        <w:rPr>
          <w:rFonts w:ascii="仿宋_GB2312"/>
          <w:color w:val="auto"/>
          <w:sz w:val="32"/>
          <w:szCs w:val="32"/>
        </w:rPr>
        <w:t>年度</w:t>
      </w:r>
      <w:r>
        <w:rPr>
          <w:rFonts w:hint="eastAsia" w:ascii="仿宋_GB2312"/>
          <w:color w:val="auto"/>
          <w:sz w:val="32"/>
          <w:szCs w:val="32"/>
        </w:rPr>
        <w:t>部门</w:t>
      </w:r>
      <w:r>
        <w:rPr>
          <w:rFonts w:ascii="仿宋_GB2312"/>
          <w:color w:val="auto"/>
          <w:sz w:val="32"/>
          <w:szCs w:val="32"/>
        </w:rPr>
        <w:t>总</w:t>
      </w:r>
      <w:r>
        <w:rPr>
          <w:rFonts w:hint="eastAsia" w:ascii="仿宋_GB2312"/>
          <w:color w:val="auto"/>
          <w:sz w:val="32"/>
          <w:szCs w:val="32"/>
        </w:rPr>
        <w:t>目标</w:t>
      </w:r>
      <w:r>
        <w:rPr>
          <w:rFonts w:ascii="仿宋_GB2312"/>
          <w:color w:val="auto"/>
          <w:sz w:val="32"/>
          <w:szCs w:val="32"/>
        </w:rPr>
        <w:t>及</w:t>
      </w:r>
      <w:r>
        <w:rPr>
          <w:rFonts w:hint="eastAsia" w:ascii="仿宋_GB2312"/>
          <w:color w:val="auto"/>
          <w:sz w:val="32"/>
          <w:szCs w:val="32"/>
        </w:rPr>
        <w:t>主要</w:t>
      </w:r>
      <w:r>
        <w:rPr>
          <w:rFonts w:ascii="仿宋_GB2312"/>
          <w:color w:val="auto"/>
          <w:sz w:val="32"/>
          <w:szCs w:val="32"/>
        </w:rPr>
        <w:t>任务</w:t>
      </w:r>
      <w:r>
        <w:rPr>
          <w:rFonts w:hint="eastAsia" w:ascii="仿宋_GB2312"/>
          <w:color w:val="auto"/>
          <w:sz w:val="32"/>
          <w:szCs w:val="32"/>
        </w:rPr>
        <w:t>。</w:t>
      </w:r>
    </w:p>
    <w:p>
      <w:pPr>
        <w:adjustRightInd w:val="0"/>
        <w:spacing w:line="560" w:lineRule="exact"/>
        <w:ind w:firstLine="640" w:firstLineChars="200"/>
        <w:outlineLvl w:val="0"/>
        <w:rPr>
          <w:rFonts w:hint="eastAsia" w:ascii="仿宋_GB2312"/>
          <w:color w:val="auto"/>
          <w:sz w:val="32"/>
          <w:szCs w:val="32"/>
          <w:lang w:eastAsia="zh-CN"/>
        </w:rPr>
      </w:pPr>
      <w:r>
        <w:rPr>
          <w:rFonts w:hint="eastAsia" w:ascii="仿宋_GB2312"/>
          <w:color w:val="auto"/>
          <w:sz w:val="32"/>
          <w:szCs w:val="32"/>
        </w:rPr>
        <w:t>1.</w:t>
      </w:r>
      <w:r>
        <w:rPr>
          <w:rFonts w:hint="eastAsia" w:ascii="仿宋_GB2312"/>
          <w:color w:val="auto"/>
          <w:sz w:val="32"/>
          <w:szCs w:val="32"/>
          <w:lang w:eastAsia="zh-CN"/>
        </w:rPr>
        <w:t>年度总体目标：</w:t>
      </w:r>
    </w:p>
    <w:p>
      <w:pPr>
        <w:adjustRightInd w:val="0"/>
        <w:spacing w:line="560" w:lineRule="exact"/>
        <w:ind w:firstLine="640" w:firstLineChars="200"/>
        <w:outlineLvl w:val="0"/>
        <w:rPr>
          <w:rFonts w:hint="eastAsia" w:ascii="仿宋_GB2312"/>
          <w:color w:val="auto"/>
          <w:sz w:val="32"/>
          <w:szCs w:val="32"/>
        </w:rPr>
      </w:pPr>
      <w:r>
        <w:rPr>
          <w:rFonts w:hint="eastAsia" w:ascii="仿宋_GB2312"/>
          <w:color w:val="auto"/>
          <w:sz w:val="32"/>
          <w:szCs w:val="32"/>
          <w:lang w:eastAsia="zh-CN"/>
        </w:rPr>
        <w:t>目标</w:t>
      </w:r>
      <w:r>
        <w:rPr>
          <w:rFonts w:hint="eastAsia" w:ascii="仿宋_GB2312"/>
          <w:color w:val="auto"/>
          <w:sz w:val="32"/>
          <w:szCs w:val="32"/>
          <w:lang w:val="en-US" w:eastAsia="zh-CN"/>
        </w:rPr>
        <w:t>1：</w:t>
      </w:r>
      <w:r>
        <w:rPr>
          <w:rFonts w:hint="eastAsia" w:ascii="仿宋_GB2312"/>
          <w:color w:val="auto"/>
          <w:sz w:val="32"/>
          <w:szCs w:val="32"/>
        </w:rPr>
        <w:t>线上线下一体化推进政务服务能力提升，提高政务服务标准化、规范化、便利化水平。</w:t>
      </w:r>
      <w:r>
        <w:rPr>
          <w:rFonts w:hint="eastAsia" w:ascii="仿宋_GB2312"/>
          <w:color w:val="auto"/>
          <w:sz w:val="32"/>
          <w:szCs w:val="32"/>
        </w:rPr>
        <w:tab/>
      </w:r>
      <w:r>
        <w:rPr>
          <w:rFonts w:hint="eastAsia" w:ascii="仿宋_GB2312"/>
          <w:color w:val="auto"/>
          <w:sz w:val="32"/>
          <w:szCs w:val="32"/>
        </w:rPr>
        <w:tab/>
      </w:r>
    </w:p>
    <w:p>
      <w:pPr>
        <w:adjustRightInd w:val="0"/>
        <w:spacing w:line="560" w:lineRule="exact"/>
        <w:ind w:firstLine="640" w:firstLineChars="200"/>
        <w:outlineLvl w:val="0"/>
        <w:rPr>
          <w:rFonts w:hint="eastAsia" w:ascii="仿宋_GB2312"/>
          <w:color w:val="auto"/>
          <w:sz w:val="32"/>
          <w:szCs w:val="32"/>
          <w:lang w:eastAsia="zh-CN"/>
        </w:rPr>
      </w:pPr>
      <w:r>
        <w:rPr>
          <w:rFonts w:hint="eastAsia" w:ascii="仿宋_GB2312"/>
          <w:color w:val="auto"/>
          <w:sz w:val="32"/>
          <w:szCs w:val="32"/>
          <w:lang w:eastAsia="zh-CN"/>
        </w:rPr>
        <w:t>目标</w:t>
      </w:r>
      <w:r>
        <w:rPr>
          <w:rFonts w:hint="eastAsia" w:ascii="仿宋_GB2312"/>
          <w:color w:val="auto"/>
          <w:sz w:val="32"/>
          <w:szCs w:val="32"/>
          <w:lang w:val="en-US" w:eastAsia="zh-CN"/>
        </w:rPr>
        <w:t>2：</w:t>
      </w:r>
      <w:r>
        <w:rPr>
          <w:rFonts w:hint="eastAsia" w:ascii="仿宋_GB2312"/>
          <w:color w:val="auto"/>
          <w:sz w:val="32"/>
          <w:szCs w:val="32"/>
          <w:lang w:eastAsia="zh-CN"/>
        </w:rPr>
        <w:t>大力推进城市运行管理指挥中心建设，年底前主体功能基本完善，数据汇聚取得初步成效，城运中心启动运行。</w:t>
      </w:r>
      <w:r>
        <w:rPr>
          <w:rFonts w:hint="eastAsia" w:ascii="仿宋_GB2312"/>
          <w:color w:val="auto"/>
          <w:sz w:val="32"/>
          <w:szCs w:val="32"/>
          <w:lang w:eastAsia="zh-CN"/>
        </w:rPr>
        <w:tab/>
      </w:r>
      <w:r>
        <w:rPr>
          <w:rFonts w:hint="eastAsia" w:ascii="仿宋_GB2312"/>
          <w:color w:val="auto"/>
          <w:sz w:val="32"/>
          <w:szCs w:val="32"/>
          <w:lang w:eastAsia="zh-CN"/>
        </w:rPr>
        <w:tab/>
      </w:r>
      <w:r>
        <w:rPr>
          <w:rFonts w:hint="eastAsia" w:ascii="仿宋_GB2312"/>
          <w:color w:val="auto"/>
          <w:sz w:val="32"/>
          <w:szCs w:val="32"/>
          <w:lang w:val="en-US" w:eastAsia="zh-CN"/>
        </w:rPr>
        <w:t xml:space="preserve"> </w:t>
      </w:r>
      <w:r>
        <w:rPr>
          <w:rFonts w:hint="eastAsia" w:ascii="仿宋_GB2312"/>
          <w:color w:val="auto"/>
          <w:sz w:val="32"/>
          <w:szCs w:val="32"/>
          <w:lang w:eastAsia="zh-CN"/>
        </w:rPr>
        <w:t>目标</w:t>
      </w:r>
      <w:r>
        <w:rPr>
          <w:rFonts w:hint="eastAsia" w:ascii="仿宋_GB2312"/>
          <w:color w:val="auto"/>
          <w:sz w:val="32"/>
          <w:szCs w:val="32"/>
          <w:lang w:val="en-US" w:eastAsia="zh-CN"/>
        </w:rPr>
        <w:t>3：</w:t>
      </w:r>
      <w:r>
        <w:rPr>
          <w:rFonts w:hint="eastAsia" w:ascii="仿宋_GB2312"/>
          <w:color w:val="auto"/>
          <w:sz w:val="32"/>
          <w:szCs w:val="32"/>
          <w:lang w:eastAsia="zh-CN"/>
        </w:rPr>
        <w:t>充分发挥大数据助力新冠肺炎疫情防控作用，通过平台建设、数据分析等技术手段提高精准防控水平。</w:t>
      </w:r>
      <w:r>
        <w:rPr>
          <w:rFonts w:hint="eastAsia" w:ascii="仿宋_GB2312"/>
          <w:color w:val="auto"/>
          <w:sz w:val="32"/>
          <w:szCs w:val="32"/>
          <w:lang w:eastAsia="zh-CN"/>
        </w:rPr>
        <w:tab/>
      </w:r>
      <w:r>
        <w:rPr>
          <w:rFonts w:hint="eastAsia" w:ascii="仿宋_GB2312"/>
          <w:color w:val="auto"/>
          <w:sz w:val="32"/>
          <w:szCs w:val="32"/>
          <w:lang w:eastAsia="zh-CN"/>
        </w:rPr>
        <w:tab/>
      </w:r>
    </w:p>
    <w:p>
      <w:pPr>
        <w:adjustRightInd w:val="0"/>
        <w:spacing w:line="560" w:lineRule="exact"/>
        <w:ind w:firstLine="640" w:firstLineChars="200"/>
        <w:outlineLvl w:val="0"/>
        <w:rPr>
          <w:rFonts w:hint="eastAsia" w:ascii="仿宋_GB2312"/>
          <w:color w:val="auto"/>
          <w:sz w:val="32"/>
          <w:szCs w:val="32"/>
          <w:lang w:eastAsia="zh-CN"/>
        </w:rPr>
      </w:pPr>
      <w:r>
        <w:rPr>
          <w:rFonts w:hint="eastAsia" w:ascii="仿宋_GB2312"/>
          <w:color w:val="auto"/>
          <w:sz w:val="32"/>
          <w:szCs w:val="32"/>
          <w:lang w:eastAsia="zh-CN"/>
        </w:rPr>
        <w:t>目标</w:t>
      </w:r>
      <w:r>
        <w:rPr>
          <w:rFonts w:hint="eastAsia" w:ascii="仿宋_GB2312"/>
          <w:color w:val="auto"/>
          <w:sz w:val="32"/>
          <w:szCs w:val="32"/>
          <w:lang w:val="en-US" w:eastAsia="zh-CN"/>
        </w:rPr>
        <w:t>4：</w:t>
      </w:r>
      <w:r>
        <w:rPr>
          <w:rFonts w:hint="eastAsia" w:ascii="仿宋_GB2312"/>
          <w:color w:val="auto"/>
          <w:sz w:val="32"/>
          <w:szCs w:val="32"/>
          <w:lang w:eastAsia="zh-CN"/>
        </w:rPr>
        <w:t>保障市政务大厅正常运转</w:t>
      </w:r>
      <w:r>
        <w:rPr>
          <w:rFonts w:hint="eastAsia" w:ascii="仿宋_GB2312"/>
          <w:color w:val="auto"/>
          <w:sz w:val="32"/>
          <w:szCs w:val="32"/>
          <w:lang w:eastAsia="zh-CN"/>
        </w:rPr>
        <w:tab/>
      </w:r>
    </w:p>
    <w:p>
      <w:pPr>
        <w:numPr>
          <w:ilvl w:val="0"/>
          <w:numId w:val="0"/>
        </w:numPr>
        <w:adjustRightInd w:val="0"/>
        <w:spacing w:line="560" w:lineRule="exact"/>
        <w:ind w:firstLine="640" w:firstLineChars="200"/>
        <w:outlineLvl w:val="0"/>
        <w:rPr>
          <w:rFonts w:hint="eastAsia" w:ascii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/>
          <w:color w:val="auto"/>
          <w:sz w:val="32"/>
          <w:szCs w:val="32"/>
          <w:lang w:val="en-US" w:eastAsia="zh-CN"/>
        </w:rPr>
        <w:t>2.年度主要工作任务：</w:t>
      </w:r>
    </w:p>
    <w:p>
      <w:pPr>
        <w:numPr>
          <w:ilvl w:val="0"/>
          <w:numId w:val="0"/>
        </w:numPr>
        <w:adjustRightInd w:val="0"/>
        <w:spacing w:line="560" w:lineRule="exact"/>
        <w:ind w:firstLine="640" w:firstLineChars="200"/>
        <w:outlineLvl w:val="0"/>
        <w:rPr>
          <w:rFonts w:hint="eastAsia" w:ascii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/>
          <w:color w:val="auto"/>
          <w:sz w:val="32"/>
          <w:szCs w:val="32"/>
          <w:highlight w:val="none"/>
          <w:lang w:val="en-US" w:eastAsia="zh-CN"/>
        </w:rPr>
        <w:t>任务1：平顶山市电子政务外网运维。保证平顶山市电子政务外网骨干传输网安全可靠运行，保证城域网光纤线路安全可靠，保证统一互联网接入稳定运行，运行维护服务相关网络。</w:t>
      </w:r>
      <w:r>
        <w:rPr>
          <w:rFonts w:hint="eastAsia" w:ascii="仿宋_GB2312"/>
          <w:color w:val="auto"/>
          <w:sz w:val="32"/>
          <w:szCs w:val="32"/>
          <w:highlight w:val="none"/>
          <w:lang w:val="en-US" w:eastAsia="zh-CN"/>
        </w:rPr>
        <w:tab/>
      </w:r>
    </w:p>
    <w:p>
      <w:pPr>
        <w:numPr>
          <w:ilvl w:val="0"/>
          <w:numId w:val="0"/>
        </w:numPr>
        <w:adjustRightInd w:val="0"/>
        <w:spacing w:line="560" w:lineRule="exact"/>
        <w:ind w:firstLine="640" w:firstLineChars="200"/>
        <w:outlineLvl w:val="0"/>
        <w:rPr>
          <w:rFonts w:hint="eastAsia" w:ascii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/>
          <w:color w:val="auto"/>
          <w:sz w:val="32"/>
          <w:szCs w:val="32"/>
          <w:highlight w:val="none"/>
          <w:lang w:val="en-US" w:eastAsia="zh-CN"/>
        </w:rPr>
        <w:t>任务2：平顶山市“互联网+政务服务”建设项目系统运维。总体目标是保障全市电子政务外网网络安全畅通，确保全市电子政务外网承载的业务应用系统安全稳定运行。利旧“行政审批服务中心”现有网络，对网络关键节点和关键设备进行按需升级和增设，对现有网络资源进行整合，减少重复建设；为“一窗受理 一次办妥”做到网络先行，充分发挥电子政务外网的价值。同时，建立健全完备的网络安全运维管理体系，充实现“安全便捷”“可管可控”的建设目标。</w:t>
      </w:r>
      <w:r>
        <w:rPr>
          <w:rFonts w:hint="eastAsia" w:ascii="仿宋_GB2312"/>
          <w:color w:val="auto"/>
          <w:sz w:val="32"/>
          <w:szCs w:val="32"/>
          <w:highlight w:val="none"/>
          <w:lang w:val="en-US" w:eastAsia="zh-CN"/>
        </w:rPr>
        <w:tab/>
      </w:r>
    </w:p>
    <w:p>
      <w:pPr>
        <w:numPr>
          <w:ilvl w:val="0"/>
          <w:numId w:val="0"/>
        </w:numPr>
        <w:adjustRightInd w:val="0"/>
        <w:spacing w:line="560" w:lineRule="exact"/>
        <w:ind w:firstLine="640" w:firstLineChars="200"/>
        <w:outlineLvl w:val="0"/>
        <w:rPr>
          <w:rFonts w:hint="eastAsia" w:ascii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/>
          <w:color w:val="auto"/>
          <w:sz w:val="32"/>
          <w:szCs w:val="32"/>
          <w:highlight w:val="none"/>
          <w:lang w:val="en-US" w:eastAsia="zh-CN"/>
        </w:rPr>
        <w:t>任务3：“豫正通”项目。建立党政机关“阅、批、办、督、反馈”功能平台内部闭环运行的机制，目前已建成投用。</w:t>
      </w:r>
      <w:r>
        <w:rPr>
          <w:rFonts w:hint="eastAsia" w:ascii="仿宋_GB2312"/>
          <w:color w:val="auto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/>
          <w:color w:val="auto"/>
          <w:sz w:val="32"/>
          <w:szCs w:val="32"/>
          <w:highlight w:val="none"/>
          <w:lang w:val="en-US" w:eastAsia="zh-CN"/>
        </w:rPr>
        <w:tab/>
      </w:r>
    </w:p>
    <w:p>
      <w:pPr>
        <w:numPr>
          <w:ilvl w:val="0"/>
          <w:numId w:val="0"/>
        </w:numPr>
        <w:adjustRightInd w:val="0"/>
        <w:spacing w:line="560" w:lineRule="exact"/>
        <w:ind w:firstLine="640" w:firstLineChars="200"/>
        <w:outlineLvl w:val="0"/>
        <w:rPr>
          <w:rFonts w:hint="eastAsia" w:ascii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/>
          <w:color w:val="auto"/>
          <w:sz w:val="32"/>
          <w:szCs w:val="32"/>
          <w:highlight w:val="none"/>
          <w:lang w:val="en-US" w:eastAsia="zh-CN"/>
        </w:rPr>
        <w:t>任务4：政务云资源购买服务及评估。按照“统一建设、共享使用”的集约化建设模式，为政府各部门搭建全市统一的基础架构平台，向所有政府部门提供计算、存储、安全防护、网络支撑等服务。邀请专业第三方团队，从技术服务能力、安全保障能力、云资源可靠性和服务质量等方面，对云服务商进行评估，以此作为云使用费用支付依据，根据实际工作情况目前已基本完成支出。</w:t>
      </w:r>
      <w:r>
        <w:rPr>
          <w:rFonts w:hint="eastAsia" w:ascii="仿宋_GB2312"/>
          <w:color w:val="auto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/>
          <w:color w:val="auto"/>
          <w:sz w:val="32"/>
          <w:szCs w:val="32"/>
          <w:highlight w:val="none"/>
          <w:lang w:val="en-US" w:eastAsia="zh-CN"/>
        </w:rPr>
        <w:tab/>
      </w:r>
    </w:p>
    <w:p>
      <w:pPr>
        <w:numPr>
          <w:ilvl w:val="0"/>
          <w:numId w:val="0"/>
        </w:numPr>
        <w:adjustRightInd w:val="0"/>
        <w:spacing w:line="560" w:lineRule="exact"/>
        <w:ind w:firstLine="640" w:firstLineChars="200"/>
        <w:outlineLvl w:val="0"/>
        <w:rPr>
          <w:rFonts w:hint="eastAsia" w:ascii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/>
          <w:color w:val="auto"/>
          <w:sz w:val="32"/>
          <w:szCs w:val="32"/>
          <w:highlight w:val="none"/>
          <w:lang w:val="en-US" w:eastAsia="zh-CN"/>
        </w:rPr>
        <w:t>任务5：城运中心。受疫情影响及选址变动，项目初设编制工作前期未全面铺开，项目建设按</w:t>
      </w:r>
      <w:r>
        <w:rPr>
          <w:rFonts w:hint="eastAsia" w:ascii="仿宋_GB2312"/>
          <w:color w:val="auto"/>
          <w:sz w:val="32"/>
          <w:szCs w:val="32"/>
          <w:lang w:val="en-US" w:eastAsia="zh-CN"/>
        </w:rPr>
        <w:t xml:space="preserve">照招标合同先期实施了部分子项目，但受制于整体设计未完成，项目建设无法全面铺开，支出进度较少。下一步，我局将与中国信通院、大数据公司结合，加快项目二期第一阶段初步设计方案财政评审，按照审定后的方案加快实施建设，完成资金支付；同时加快项目二期第二阶段初步设计方案编制，评审通过后，加快项目实施及项目资金支付工作。 </w:t>
      </w:r>
    </w:p>
    <w:p>
      <w:pPr>
        <w:numPr>
          <w:ilvl w:val="0"/>
          <w:numId w:val="0"/>
        </w:numPr>
        <w:adjustRightInd w:val="0"/>
        <w:spacing w:line="560" w:lineRule="exact"/>
        <w:ind w:firstLine="640" w:firstLineChars="200"/>
        <w:outlineLvl w:val="0"/>
        <w:rPr>
          <w:rFonts w:hint="eastAsia" w:ascii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/>
          <w:color w:val="auto"/>
          <w:sz w:val="32"/>
          <w:szCs w:val="32"/>
          <w:highlight w:val="none"/>
          <w:lang w:val="en-US" w:eastAsia="zh-CN"/>
        </w:rPr>
        <w:t>任务6：政务服务能力提升149工程。为积极推进政务服务能力提升，提高营商环境评估水平，我局主持承担了政务服务能力提升149工程。2022年度全面实施政务服务能力提升149工程，通过完成149项具体措施，使一体化政务服务能力得到有效提升。我单位2022年度在疫情防控中承担区域协查专班、信息平台保障部及数据与技术保障组这三项工作，建成市一体化疫情防控平台，高效完成赋码转码、区域协查等工作，为全市疫情防控工作提供精准支持。</w:t>
      </w:r>
      <w:r>
        <w:rPr>
          <w:rFonts w:hint="eastAsia" w:ascii="仿宋_GB2312"/>
          <w:color w:val="auto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/>
          <w:color w:val="auto"/>
          <w:sz w:val="32"/>
          <w:szCs w:val="32"/>
          <w:highlight w:val="none"/>
          <w:lang w:val="en-US" w:eastAsia="zh-CN"/>
        </w:rPr>
        <w:tab/>
      </w:r>
    </w:p>
    <w:p>
      <w:pPr>
        <w:numPr>
          <w:ilvl w:val="0"/>
          <w:numId w:val="0"/>
        </w:numPr>
        <w:adjustRightInd w:val="0"/>
        <w:spacing w:line="560" w:lineRule="exact"/>
        <w:ind w:firstLine="640" w:firstLineChars="200"/>
        <w:outlineLvl w:val="0"/>
        <w:rPr>
          <w:rFonts w:hint="eastAsia" w:ascii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/>
          <w:color w:val="auto"/>
          <w:sz w:val="32"/>
          <w:szCs w:val="32"/>
          <w:highlight w:val="none"/>
          <w:lang w:val="en-US" w:eastAsia="zh-CN"/>
        </w:rPr>
        <w:t>任务7：疫情防控工作。局本级2022年度在疫情防控中承担区域协查专班、信息平台保障部及数据与技术保障组这三项工作，建成市一体化疫情防控平台，高效完成赋码转码、区域协查等工作，为全市疫情防控工作提供精准支持。</w:t>
      </w:r>
      <w:r>
        <w:rPr>
          <w:rFonts w:hint="eastAsia" w:ascii="仿宋_GB2312"/>
          <w:color w:val="auto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/>
          <w:color w:val="auto"/>
          <w:sz w:val="32"/>
          <w:szCs w:val="32"/>
          <w:highlight w:val="none"/>
          <w:lang w:val="en-US" w:eastAsia="zh-CN"/>
        </w:rPr>
        <w:tab/>
      </w:r>
    </w:p>
    <w:p>
      <w:pPr>
        <w:numPr>
          <w:ilvl w:val="0"/>
          <w:numId w:val="0"/>
        </w:numPr>
        <w:adjustRightInd w:val="0"/>
        <w:spacing w:line="560" w:lineRule="exact"/>
        <w:ind w:firstLine="640" w:firstLineChars="200"/>
        <w:outlineLvl w:val="0"/>
        <w:rPr>
          <w:rFonts w:hint="eastAsia" w:ascii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/>
          <w:color w:val="auto"/>
          <w:sz w:val="32"/>
          <w:szCs w:val="32"/>
          <w:highlight w:val="none"/>
          <w:lang w:val="en-US" w:eastAsia="zh-CN"/>
        </w:rPr>
        <w:t>任务8：深入推进政务服务便利化，创新多样化便民服务渠道。2022年度内审批中心切实提升政务服务水平，有效提供便民服务，如周末不打烊、证照免费邮寄和免费复印等。</w:t>
      </w:r>
    </w:p>
    <w:p>
      <w:pPr>
        <w:numPr>
          <w:ilvl w:val="0"/>
          <w:numId w:val="0"/>
        </w:numPr>
        <w:adjustRightInd w:val="0"/>
        <w:spacing w:line="560" w:lineRule="exact"/>
        <w:ind w:firstLine="640" w:firstLineChars="200"/>
        <w:outlineLvl w:val="0"/>
        <w:rPr>
          <w:rFonts w:hint="eastAsia" w:ascii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/>
          <w:color w:val="auto"/>
          <w:sz w:val="32"/>
          <w:szCs w:val="32"/>
          <w:highlight w:val="none"/>
          <w:lang w:val="en-US" w:eastAsia="zh-CN"/>
        </w:rPr>
        <w:t>任务9：做好办事大厅防疫工作。按照上级要求，做好办事大厅防疫工作，安排专人值班查验健康码，及时进行消杀，免费提供防疫口罩等用品。</w:t>
      </w:r>
      <w:r>
        <w:rPr>
          <w:rFonts w:hint="eastAsia" w:ascii="仿宋_GB2312"/>
          <w:color w:val="auto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/>
          <w:color w:val="auto"/>
          <w:sz w:val="32"/>
          <w:szCs w:val="32"/>
          <w:highlight w:val="none"/>
          <w:lang w:val="en-US" w:eastAsia="zh-CN"/>
        </w:rPr>
        <w:tab/>
      </w:r>
    </w:p>
    <w:p>
      <w:pPr>
        <w:adjustRightInd w:val="0"/>
        <w:spacing w:line="560" w:lineRule="exact"/>
        <w:ind w:firstLine="640" w:firstLineChars="200"/>
        <w:outlineLvl w:val="0"/>
        <w:rPr>
          <w:rFonts w:ascii="仿宋_GB2312"/>
          <w:color w:val="auto"/>
          <w:sz w:val="32"/>
          <w:szCs w:val="32"/>
        </w:rPr>
      </w:pPr>
      <w:r>
        <w:rPr>
          <w:rFonts w:hint="eastAsia" w:ascii="仿宋_GB2312"/>
          <w:color w:val="auto"/>
          <w:sz w:val="32"/>
          <w:szCs w:val="32"/>
        </w:rPr>
        <w:t>（二）年度部门整体预算绩效目标、绩效指标设定情况。</w:t>
      </w:r>
    </w:p>
    <w:p>
      <w:pPr>
        <w:adjustRightInd w:val="0"/>
        <w:spacing w:line="560" w:lineRule="exact"/>
        <w:ind w:firstLine="640" w:firstLineChars="200"/>
        <w:rPr>
          <w:rFonts w:ascii="黑体" w:hAnsi="黑体" w:eastAsia="黑体" w:cs="黑体"/>
          <w:bCs/>
          <w:color w:val="auto"/>
          <w:sz w:val="32"/>
          <w:szCs w:val="32"/>
        </w:rPr>
      </w:pPr>
      <w:r>
        <w:rPr>
          <w:rFonts w:hint="eastAsia" w:ascii="黑体" w:hAnsi="黑体" w:eastAsia="黑体" w:cs="黑体"/>
          <w:bCs/>
          <w:color w:val="auto"/>
          <w:sz w:val="32"/>
          <w:szCs w:val="32"/>
        </w:rPr>
        <w:t>二、绩效自评工作开展情况</w:t>
      </w:r>
    </w:p>
    <w:p>
      <w:pPr>
        <w:adjustRightInd w:val="0"/>
        <w:spacing w:line="560" w:lineRule="exact"/>
        <w:ind w:firstLine="640" w:firstLineChars="200"/>
        <w:rPr>
          <w:rFonts w:hint="eastAsia" w:ascii="仿宋_GB2312"/>
          <w:color w:val="auto"/>
          <w:sz w:val="32"/>
          <w:szCs w:val="32"/>
        </w:rPr>
      </w:pPr>
      <w:r>
        <w:rPr>
          <w:rFonts w:hint="eastAsia" w:ascii="仿宋_GB2312"/>
          <w:color w:val="auto"/>
          <w:sz w:val="32"/>
          <w:szCs w:val="32"/>
        </w:rPr>
        <w:t>按照《平顶山市财政局关于开展2022年度市级预算绩效自评和项目支出部门绩效评价工作的通知》 (平财效（2023)9号）要求，我单位高度重视2022年度部门整体支出绩效自评工作的开展，下发开展绩效自评工作的通知，建立绩效自评领导机制，将此项工作列入重要日程。此次绩效自评范围包括照本级在内的</w:t>
      </w:r>
      <w:r>
        <w:rPr>
          <w:rFonts w:hint="eastAsia" w:ascii="仿宋_GB2312"/>
          <w:color w:val="auto"/>
          <w:sz w:val="32"/>
          <w:szCs w:val="32"/>
          <w:lang w:val="en-US" w:eastAsia="zh-CN"/>
        </w:rPr>
        <w:t>2</w:t>
      </w:r>
      <w:r>
        <w:rPr>
          <w:rFonts w:hint="eastAsia" w:ascii="仿宋_GB2312"/>
          <w:color w:val="auto"/>
          <w:sz w:val="32"/>
          <w:szCs w:val="32"/>
        </w:rPr>
        <w:t>个财政预算拨款单位，由财务处牵头开展自评工作，本次绩效自评主要从材料准备、数据统计分析、报告撰写等三个阶段组织实施。</w:t>
      </w:r>
    </w:p>
    <w:p>
      <w:pPr>
        <w:adjustRightInd w:val="0"/>
        <w:spacing w:line="560" w:lineRule="exact"/>
        <w:ind w:firstLine="640" w:firstLineChars="200"/>
        <w:rPr>
          <w:rFonts w:hint="eastAsia" w:ascii="仿宋_GB2312"/>
          <w:color w:val="auto"/>
          <w:sz w:val="32"/>
          <w:szCs w:val="32"/>
        </w:rPr>
      </w:pPr>
      <w:r>
        <w:rPr>
          <w:rFonts w:hint="eastAsia" w:ascii="仿宋_GB2312"/>
          <w:color w:val="auto"/>
          <w:sz w:val="32"/>
          <w:szCs w:val="32"/>
        </w:rPr>
        <w:t>(一）绩效自评材料准备阶段</w:t>
      </w:r>
    </w:p>
    <w:p>
      <w:pPr>
        <w:adjustRightInd w:val="0"/>
        <w:spacing w:line="560" w:lineRule="exact"/>
        <w:ind w:firstLine="640" w:firstLineChars="200"/>
        <w:rPr>
          <w:rFonts w:hint="eastAsia" w:ascii="仿宋_GB2312"/>
          <w:color w:val="auto"/>
          <w:sz w:val="32"/>
          <w:szCs w:val="32"/>
        </w:rPr>
      </w:pPr>
      <w:r>
        <w:rPr>
          <w:rFonts w:hint="eastAsia" w:ascii="仿宋_GB2312"/>
          <w:color w:val="auto"/>
          <w:sz w:val="32"/>
          <w:szCs w:val="32"/>
        </w:rPr>
        <w:t>我单位财务处和相关业务处室负责人员认真研读《平顶山市财政局关于开展2022年度市级预算绩效自评和项目支出部门绩效评价工作的通知》（平财效（2023)9号）,做好相关材料的准备工作，按照有关通知文件要求认真收集、查阅、核实有关数据资料，按时完成资料收集工作。</w:t>
      </w:r>
    </w:p>
    <w:p>
      <w:pPr>
        <w:adjustRightInd w:val="0"/>
        <w:spacing w:line="560" w:lineRule="exact"/>
        <w:ind w:firstLine="640" w:firstLineChars="200"/>
        <w:rPr>
          <w:rFonts w:hint="eastAsia" w:ascii="仿宋_GB2312"/>
          <w:color w:val="auto"/>
          <w:sz w:val="32"/>
          <w:szCs w:val="32"/>
        </w:rPr>
      </w:pPr>
      <w:r>
        <w:rPr>
          <w:rFonts w:hint="eastAsia" w:ascii="仿宋_GB2312"/>
          <w:color w:val="auto"/>
          <w:sz w:val="32"/>
          <w:szCs w:val="32"/>
        </w:rPr>
        <w:t>(二）数据统计分析</w:t>
      </w:r>
    </w:p>
    <w:p>
      <w:pPr>
        <w:adjustRightInd w:val="0"/>
        <w:spacing w:line="560" w:lineRule="exact"/>
        <w:ind w:firstLine="640" w:firstLineChars="200"/>
        <w:rPr>
          <w:rFonts w:hint="eastAsia" w:ascii="仿宋_GB2312"/>
          <w:color w:val="auto"/>
          <w:sz w:val="32"/>
          <w:szCs w:val="32"/>
        </w:rPr>
      </w:pPr>
      <w:r>
        <w:rPr>
          <w:rFonts w:hint="eastAsia" w:ascii="仿宋_GB2312"/>
          <w:color w:val="auto"/>
          <w:sz w:val="32"/>
          <w:szCs w:val="32"/>
        </w:rPr>
        <w:t>为直观了解我单位各直属单位实际工作的完成情况，提升优化资源分配的公平性和合理性，我单位按照工作安排，组织相关绩效自评工作人员采取书面材料集中审核的方式、将实施结果与申报绩效目标相比</w:t>
      </w:r>
      <w:r>
        <w:rPr>
          <w:rFonts w:hint="eastAsia" w:ascii="仿宋_GB2312"/>
          <w:color w:val="auto"/>
          <w:sz w:val="32"/>
          <w:szCs w:val="32"/>
          <w:lang w:eastAsia="zh-CN"/>
        </w:rPr>
        <w:t>。</w:t>
      </w:r>
      <w:r>
        <w:rPr>
          <w:rFonts w:hint="eastAsia" w:ascii="仿宋_GB2312"/>
          <w:color w:val="auto"/>
          <w:sz w:val="32"/>
          <w:szCs w:val="32"/>
        </w:rPr>
        <w:t xml:space="preserve"> </w:t>
      </w:r>
    </w:p>
    <w:p>
      <w:pPr>
        <w:adjustRightInd w:val="0"/>
        <w:spacing w:line="560" w:lineRule="exact"/>
        <w:ind w:firstLine="640" w:firstLineChars="200"/>
        <w:rPr>
          <w:rFonts w:hint="eastAsia" w:ascii="仿宋_GB2312"/>
          <w:color w:val="auto"/>
          <w:sz w:val="32"/>
          <w:szCs w:val="32"/>
        </w:rPr>
      </w:pPr>
      <w:r>
        <w:rPr>
          <w:rFonts w:hint="eastAsia" w:ascii="仿宋_GB2312"/>
          <w:color w:val="auto"/>
          <w:sz w:val="32"/>
          <w:szCs w:val="32"/>
        </w:rPr>
        <w:t>(三）绩效自评报告撰写阶段</w:t>
      </w:r>
    </w:p>
    <w:p>
      <w:pPr>
        <w:adjustRightInd w:val="0"/>
        <w:spacing w:line="560" w:lineRule="exact"/>
        <w:ind w:firstLine="640" w:firstLineChars="200"/>
        <w:rPr>
          <w:rFonts w:hint="eastAsia" w:ascii="仿宋_GB2312"/>
          <w:color w:val="auto"/>
          <w:sz w:val="32"/>
          <w:szCs w:val="32"/>
          <w:lang w:eastAsia="zh-CN"/>
        </w:rPr>
      </w:pPr>
      <w:r>
        <w:rPr>
          <w:rFonts w:hint="eastAsia" w:ascii="仿宋_GB2312"/>
          <w:color w:val="auto"/>
          <w:sz w:val="32"/>
          <w:szCs w:val="32"/>
        </w:rPr>
        <w:t>我单位根据</w:t>
      </w:r>
      <w:r>
        <w:rPr>
          <w:rFonts w:hint="eastAsia" w:ascii="仿宋_GB2312"/>
          <w:color w:val="auto"/>
          <w:sz w:val="32"/>
          <w:szCs w:val="32"/>
          <w:lang w:eastAsia="zh-CN"/>
        </w:rPr>
        <w:t>局本级、中心</w:t>
      </w:r>
      <w:r>
        <w:rPr>
          <w:rFonts w:hint="eastAsia" w:ascii="仿宋_GB2312"/>
          <w:color w:val="auto"/>
          <w:sz w:val="32"/>
          <w:szCs w:val="32"/>
        </w:rPr>
        <w:t>上报的绩效自评表等相关资料，经我单位绩效自评工作人员整理、分析、汇总，计算各指标分值；按照自评报告框架内容要求，形成自评结论及报告初稿；经过工作小组内部讨论调改后，反馈给相关部门征求意见，根据反馈意见反复修改完善，形成最终绩效的报告。</w:t>
      </w:r>
    </w:p>
    <w:p>
      <w:pPr>
        <w:adjustRightInd w:val="0"/>
        <w:spacing w:line="560" w:lineRule="exact"/>
        <w:ind w:firstLine="640" w:firstLineChars="200"/>
        <w:rPr>
          <w:rFonts w:ascii="黑体" w:hAnsi="黑体" w:eastAsia="黑体" w:cs="黑体"/>
          <w:bCs/>
          <w:color w:val="auto"/>
          <w:sz w:val="32"/>
          <w:szCs w:val="32"/>
        </w:rPr>
      </w:pPr>
      <w:r>
        <w:rPr>
          <w:rFonts w:hint="eastAsia" w:ascii="黑体" w:hAnsi="黑体" w:eastAsia="黑体" w:cs="黑体"/>
          <w:bCs/>
          <w:color w:val="auto"/>
          <w:sz w:val="32"/>
          <w:szCs w:val="32"/>
        </w:rPr>
        <w:t>三、综合评价结论</w:t>
      </w:r>
    </w:p>
    <w:p>
      <w:pPr>
        <w:adjustRightInd w:val="0"/>
        <w:spacing w:line="560" w:lineRule="exact"/>
        <w:ind w:firstLine="640" w:firstLineChars="200"/>
        <w:rPr>
          <w:rFonts w:hint="eastAsia" w:ascii="仿宋_GB2312" w:hAnsi="仿宋_GB2312" w:cs="仿宋_GB2312"/>
          <w:bCs/>
          <w:color w:val="auto"/>
          <w:sz w:val="32"/>
          <w:szCs w:val="32"/>
        </w:rPr>
      </w:pPr>
      <w:r>
        <w:rPr>
          <w:rFonts w:hint="eastAsia" w:ascii="仿宋_GB2312" w:hAnsi="仿宋_GB2312" w:cs="仿宋_GB2312"/>
          <w:bCs/>
          <w:color w:val="auto"/>
          <w:sz w:val="32"/>
          <w:szCs w:val="32"/>
        </w:rPr>
        <w:t>依据自评指标体系，通过对预算执行情况、投入管理指标、产出指标、效益指标进行全面综合评价，2022年度我单位整体</w:t>
      </w:r>
      <w:r>
        <w:rPr>
          <w:rFonts w:hint="eastAsia" w:ascii="仿宋_GB2312" w:hAnsi="仿宋_GB2312" w:cs="仿宋_GB2312"/>
          <w:bCs/>
          <w:color w:val="auto"/>
          <w:sz w:val="32"/>
          <w:szCs w:val="32"/>
          <w:highlight w:val="none"/>
        </w:rPr>
        <w:t>自评得分为</w:t>
      </w:r>
      <w:r>
        <w:rPr>
          <w:rFonts w:hint="eastAsia" w:ascii="仿宋_GB2312" w:hAnsi="仿宋_GB2312" w:cs="仿宋_GB2312"/>
          <w:bCs/>
          <w:color w:val="auto"/>
          <w:sz w:val="32"/>
          <w:szCs w:val="32"/>
          <w:highlight w:val="none"/>
          <w:lang w:val="en-US" w:eastAsia="zh-CN"/>
        </w:rPr>
        <w:t>88</w:t>
      </w:r>
      <w:r>
        <w:rPr>
          <w:rFonts w:hint="eastAsia" w:ascii="仿宋_GB2312" w:hAnsi="仿宋_GB2312" w:cs="仿宋_GB2312"/>
          <w:bCs/>
          <w:color w:val="auto"/>
          <w:sz w:val="32"/>
          <w:szCs w:val="32"/>
          <w:highlight w:val="none"/>
        </w:rPr>
        <w:t>分，评价等级为“良”。其中，预算执行率得分</w:t>
      </w:r>
      <w:r>
        <w:rPr>
          <w:rFonts w:hint="eastAsia" w:ascii="仿宋_GB2312" w:hAnsi="仿宋_GB2312" w:cs="仿宋_GB2312"/>
          <w:bCs/>
          <w:color w:val="auto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仿宋_GB2312" w:hAnsi="仿宋_GB2312" w:cs="仿宋_GB2312"/>
          <w:bCs/>
          <w:color w:val="auto"/>
          <w:sz w:val="32"/>
          <w:szCs w:val="32"/>
          <w:highlight w:val="none"/>
        </w:rPr>
        <w:t>分，投入管理指标得分</w:t>
      </w:r>
      <w:r>
        <w:rPr>
          <w:rFonts w:hint="eastAsia" w:ascii="仿宋_GB2312" w:hAnsi="仿宋_GB2312" w:cs="仿宋_GB2312"/>
          <w:bCs/>
          <w:color w:val="auto"/>
          <w:sz w:val="32"/>
          <w:szCs w:val="32"/>
          <w:highlight w:val="none"/>
          <w:lang w:val="en-US" w:eastAsia="zh-CN"/>
        </w:rPr>
        <w:t>24分</w:t>
      </w:r>
      <w:r>
        <w:rPr>
          <w:rFonts w:hint="eastAsia" w:ascii="仿宋_GB2312" w:hAnsi="仿宋_GB2312" w:cs="仿宋_GB2312"/>
          <w:bCs/>
          <w:color w:val="auto"/>
          <w:sz w:val="32"/>
          <w:szCs w:val="32"/>
          <w:highlight w:val="none"/>
        </w:rPr>
        <w:t>，产出指标得</w:t>
      </w:r>
      <w:r>
        <w:rPr>
          <w:rFonts w:hint="eastAsia" w:ascii="仿宋_GB2312" w:hAnsi="仿宋_GB2312" w:cs="仿宋_GB2312"/>
          <w:bCs/>
          <w:color w:val="auto"/>
          <w:sz w:val="32"/>
          <w:szCs w:val="32"/>
          <w:highlight w:val="none"/>
          <w:lang w:val="en-US" w:eastAsia="zh-CN"/>
        </w:rPr>
        <w:t>25</w:t>
      </w:r>
      <w:r>
        <w:rPr>
          <w:rFonts w:hint="eastAsia" w:ascii="仿宋_GB2312" w:hAnsi="仿宋_GB2312" w:cs="仿宋_GB2312"/>
          <w:bCs/>
          <w:color w:val="auto"/>
          <w:sz w:val="32"/>
          <w:szCs w:val="32"/>
          <w:highlight w:val="none"/>
        </w:rPr>
        <w:t>分，效益指标得分3</w:t>
      </w:r>
      <w:r>
        <w:rPr>
          <w:rFonts w:hint="eastAsia" w:ascii="仿宋_GB2312" w:hAnsi="仿宋_GB2312" w:cs="仿宋_GB2312"/>
          <w:bCs/>
          <w:color w:val="auto"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仿宋_GB2312" w:hAnsi="仿宋_GB2312" w:cs="仿宋_GB2312"/>
          <w:bCs/>
          <w:color w:val="auto"/>
          <w:sz w:val="32"/>
          <w:szCs w:val="32"/>
          <w:highlight w:val="none"/>
        </w:rPr>
        <w:t>分。各绩效指标详细</w:t>
      </w:r>
      <w:r>
        <w:rPr>
          <w:rFonts w:hint="eastAsia" w:ascii="仿宋_GB2312" w:hAnsi="仿宋_GB2312" w:cs="仿宋_GB2312"/>
          <w:bCs/>
          <w:color w:val="auto"/>
          <w:sz w:val="32"/>
          <w:szCs w:val="32"/>
        </w:rPr>
        <w:t>得分见《部</w:t>
      </w:r>
      <w:r>
        <w:rPr>
          <w:rFonts w:hint="eastAsia" w:ascii="仿宋_GB2312" w:hAnsi="仿宋_GB2312" w:cs="仿宋_GB2312"/>
          <w:bCs/>
          <w:color w:val="auto"/>
          <w:sz w:val="32"/>
          <w:szCs w:val="32"/>
          <w:lang w:eastAsia="zh-CN"/>
        </w:rPr>
        <w:t>门</w:t>
      </w:r>
      <w:r>
        <w:rPr>
          <w:rFonts w:hint="eastAsia" w:ascii="仿宋_GB2312" w:hAnsi="仿宋_GB2312" w:cs="仿宋_GB2312"/>
          <w:bCs/>
          <w:color w:val="auto"/>
          <w:sz w:val="32"/>
          <w:szCs w:val="32"/>
        </w:rPr>
        <w:t>整体</w:t>
      </w:r>
      <w:r>
        <w:rPr>
          <w:rFonts w:hint="eastAsia" w:ascii="仿宋_GB2312" w:hAnsi="仿宋_GB2312" w:cs="仿宋_GB2312"/>
          <w:bCs/>
          <w:color w:val="auto"/>
          <w:sz w:val="32"/>
          <w:szCs w:val="32"/>
          <w:lang w:eastAsia="zh-CN"/>
        </w:rPr>
        <w:t>自评</w:t>
      </w:r>
      <w:r>
        <w:rPr>
          <w:rFonts w:hint="eastAsia" w:ascii="仿宋_GB2312" w:hAnsi="仿宋_GB2312" w:cs="仿宋_GB2312"/>
          <w:bCs/>
          <w:color w:val="auto"/>
          <w:sz w:val="32"/>
          <w:szCs w:val="32"/>
        </w:rPr>
        <w:t>表》。</w:t>
      </w:r>
    </w:p>
    <w:p>
      <w:pPr>
        <w:adjustRightInd w:val="0"/>
        <w:spacing w:line="560" w:lineRule="exact"/>
        <w:ind w:firstLine="640" w:firstLineChars="200"/>
        <w:rPr>
          <w:rFonts w:ascii="黑体" w:hAnsi="黑体" w:eastAsia="黑体" w:cs="黑体"/>
          <w:bCs/>
          <w:color w:val="auto"/>
          <w:sz w:val="32"/>
          <w:szCs w:val="32"/>
        </w:rPr>
      </w:pPr>
      <w:r>
        <w:rPr>
          <w:rFonts w:hint="eastAsia" w:ascii="黑体" w:hAnsi="黑体" w:eastAsia="黑体" w:cs="黑体"/>
          <w:bCs/>
          <w:color w:val="auto"/>
          <w:sz w:val="32"/>
          <w:szCs w:val="32"/>
        </w:rPr>
        <w:t>四、绩效目标实现情况分析</w:t>
      </w:r>
    </w:p>
    <w:p>
      <w:pPr>
        <w:adjustRightInd w:val="0"/>
        <w:spacing w:line="560" w:lineRule="exact"/>
        <w:ind w:firstLine="640" w:firstLineChars="200"/>
        <w:outlineLvl w:val="0"/>
        <w:rPr>
          <w:rFonts w:ascii="楷体_GB2312" w:hAnsi="楷体_GB2312" w:eastAsia="楷体_GB2312" w:cs="楷体_GB2312"/>
          <w:bCs/>
          <w:color w:val="auto"/>
          <w:sz w:val="32"/>
          <w:szCs w:val="32"/>
          <w:highlight w:val="none"/>
        </w:rPr>
      </w:pPr>
      <w:r>
        <w:rPr>
          <w:rFonts w:hint="eastAsia" w:ascii="楷体_GB2312" w:hAnsi="楷体_GB2312" w:eastAsia="楷体_GB2312" w:cs="楷体_GB2312"/>
          <w:bCs/>
          <w:color w:val="auto"/>
          <w:sz w:val="32"/>
          <w:szCs w:val="32"/>
          <w:highlight w:val="none"/>
        </w:rPr>
        <w:t>（一）部门资金情况分析</w:t>
      </w:r>
    </w:p>
    <w:p>
      <w:pPr>
        <w:adjustRightInd w:val="0"/>
        <w:spacing w:line="560" w:lineRule="exact"/>
        <w:ind w:firstLine="640" w:firstLineChars="200"/>
        <w:outlineLvl w:val="0"/>
        <w:rPr>
          <w:rFonts w:hint="eastAsia" w:ascii="仿宋_GB2312"/>
          <w:color w:val="auto"/>
          <w:sz w:val="32"/>
          <w:szCs w:val="32"/>
          <w:highlight w:val="none"/>
        </w:rPr>
      </w:pPr>
      <w:r>
        <w:rPr>
          <w:rFonts w:hint="eastAsia" w:ascii="仿宋_GB2312"/>
          <w:color w:val="auto"/>
          <w:sz w:val="32"/>
          <w:szCs w:val="32"/>
          <w:highlight w:val="none"/>
        </w:rPr>
        <w:t>1.资金到位情况与资金执行情况</w:t>
      </w:r>
    </w:p>
    <w:p>
      <w:pPr>
        <w:adjustRightInd w:val="0"/>
        <w:spacing w:line="560" w:lineRule="exact"/>
        <w:ind w:firstLine="640" w:firstLineChars="200"/>
        <w:outlineLvl w:val="0"/>
        <w:rPr>
          <w:rFonts w:hint="eastAsia" w:ascii="仿宋_GB2312"/>
          <w:color w:val="auto"/>
          <w:sz w:val="32"/>
          <w:szCs w:val="32"/>
          <w:highlight w:val="none"/>
        </w:rPr>
      </w:pPr>
      <w:r>
        <w:rPr>
          <w:rFonts w:hint="eastAsia" w:ascii="仿宋_GB2312"/>
          <w:color w:val="auto"/>
          <w:sz w:val="32"/>
          <w:szCs w:val="32"/>
          <w:highlight w:val="none"/>
        </w:rPr>
        <w:t>我单位2022年年初预算资金</w:t>
      </w:r>
      <w:r>
        <w:rPr>
          <w:rFonts w:hint="eastAsia" w:ascii="仿宋_GB2312"/>
          <w:color w:val="auto"/>
          <w:sz w:val="32"/>
          <w:szCs w:val="32"/>
          <w:highlight w:val="none"/>
          <w:lang w:val="en-US" w:eastAsia="zh-CN"/>
        </w:rPr>
        <w:t>650.14</w:t>
      </w:r>
      <w:r>
        <w:rPr>
          <w:rFonts w:hint="eastAsia" w:ascii="仿宋_GB2312"/>
          <w:color w:val="auto"/>
          <w:sz w:val="32"/>
          <w:szCs w:val="32"/>
          <w:highlight w:val="none"/>
        </w:rPr>
        <w:t>万元；经年中调整，增加预算资金</w:t>
      </w:r>
      <w:r>
        <w:rPr>
          <w:rFonts w:hint="eastAsia" w:ascii="仿宋_GB2312"/>
          <w:color w:val="auto"/>
          <w:sz w:val="32"/>
          <w:szCs w:val="32"/>
          <w:highlight w:val="none"/>
          <w:lang w:val="en-US" w:eastAsia="zh-CN"/>
        </w:rPr>
        <w:t>28014.2</w:t>
      </w:r>
      <w:r>
        <w:rPr>
          <w:rFonts w:hint="eastAsia" w:ascii="仿宋_GB2312"/>
          <w:color w:val="auto"/>
          <w:sz w:val="32"/>
          <w:szCs w:val="32"/>
          <w:highlight w:val="none"/>
        </w:rPr>
        <w:t>万元；全年预算资金总额</w:t>
      </w:r>
      <w:r>
        <w:rPr>
          <w:rFonts w:hint="eastAsia" w:ascii="仿宋_GB2312"/>
          <w:color w:val="auto"/>
          <w:sz w:val="32"/>
          <w:szCs w:val="32"/>
          <w:highlight w:val="none"/>
          <w:lang w:val="en-US" w:eastAsia="zh-CN"/>
        </w:rPr>
        <w:t>28664.34</w:t>
      </w:r>
      <w:r>
        <w:rPr>
          <w:rFonts w:hint="eastAsia" w:ascii="仿宋_GB2312"/>
          <w:color w:val="auto"/>
          <w:sz w:val="32"/>
          <w:szCs w:val="32"/>
          <w:highlight w:val="none"/>
        </w:rPr>
        <w:t>万元。全年实际执行数为</w:t>
      </w:r>
      <w:r>
        <w:rPr>
          <w:rFonts w:hint="eastAsia" w:ascii="仿宋_GB2312"/>
          <w:color w:val="auto"/>
          <w:sz w:val="32"/>
          <w:szCs w:val="32"/>
          <w:highlight w:val="none"/>
          <w:lang w:val="en-US" w:eastAsia="zh-CN"/>
        </w:rPr>
        <w:t>16848.83</w:t>
      </w:r>
      <w:r>
        <w:rPr>
          <w:rFonts w:hint="eastAsia" w:ascii="仿宋_GB2312"/>
          <w:color w:val="auto"/>
          <w:sz w:val="32"/>
          <w:szCs w:val="32"/>
          <w:highlight w:val="none"/>
        </w:rPr>
        <w:t>万元，预算执行率为</w:t>
      </w:r>
      <w:r>
        <w:rPr>
          <w:rFonts w:hint="eastAsia" w:ascii="仿宋_GB2312"/>
          <w:color w:val="auto"/>
          <w:sz w:val="32"/>
          <w:szCs w:val="32"/>
          <w:highlight w:val="none"/>
          <w:lang w:val="en-US" w:eastAsia="zh-CN"/>
        </w:rPr>
        <w:t>58.78</w:t>
      </w:r>
      <w:r>
        <w:rPr>
          <w:rFonts w:hint="eastAsia" w:ascii="仿宋_GB2312"/>
          <w:color w:val="auto"/>
          <w:sz w:val="32"/>
          <w:szCs w:val="32"/>
          <w:highlight w:val="none"/>
        </w:rPr>
        <w:t>%。</w:t>
      </w:r>
    </w:p>
    <w:p>
      <w:pPr>
        <w:adjustRightInd w:val="0"/>
        <w:spacing w:line="560" w:lineRule="exact"/>
        <w:ind w:firstLine="640" w:firstLineChars="200"/>
        <w:outlineLvl w:val="0"/>
        <w:rPr>
          <w:rFonts w:ascii="楷体_GB2312" w:hAnsi="楷体_GB2312" w:eastAsia="楷体_GB2312" w:cs="楷体_GB2312"/>
          <w:bCs/>
          <w:color w:val="auto"/>
          <w:sz w:val="32"/>
          <w:szCs w:val="32"/>
          <w:highlight w:val="none"/>
        </w:rPr>
      </w:pPr>
      <w:r>
        <w:rPr>
          <w:rFonts w:hint="eastAsia" w:ascii="楷体_GB2312" w:hAnsi="楷体_GB2312" w:eastAsia="楷体_GB2312" w:cs="楷体_GB2312"/>
          <w:bCs/>
          <w:color w:val="auto"/>
          <w:sz w:val="32"/>
          <w:szCs w:val="32"/>
          <w:highlight w:val="none"/>
        </w:rPr>
        <w:t>（二）项目绩效指标完成情况分析</w:t>
      </w:r>
    </w:p>
    <w:p>
      <w:pPr>
        <w:adjustRightInd w:val="0"/>
        <w:spacing w:line="560" w:lineRule="exact"/>
        <w:ind w:firstLine="640" w:firstLineChars="200"/>
        <w:rPr>
          <w:rFonts w:ascii="仿宋_GB2312"/>
          <w:color w:val="auto"/>
          <w:sz w:val="32"/>
          <w:szCs w:val="32"/>
        </w:rPr>
      </w:pPr>
      <w:r>
        <w:rPr>
          <w:rFonts w:hint="eastAsia" w:ascii="仿宋_GB2312"/>
          <w:color w:val="auto"/>
          <w:sz w:val="32"/>
          <w:szCs w:val="32"/>
        </w:rPr>
        <w:t>1.投入管理指标</w:t>
      </w:r>
      <w:r>
        <w:rPr>
          <w:rFonts w:ascii="仿宋_GB2312"/>
          <w:color w:val="auto"/>
          <w:sz w:val="32"/>
          <w:szCs w:val="32"/>
        </w:rPr>
        <w:t>完成</w:t>
      </w:r>
      <w:r>
        <w:rPr>
          <w:rFonts w:hint="eastAsia" w:ascii="仿宋_GB2312"/>
          <w:color w:val="auto"/>
          <w:sz w:val="32"/>
          <w:szCs w:val="32"/>
        </w:rPr>
        <w:t>情况分析</w:t>
      </w:r>
    </w:p>
    <w:p>
      <w:pPr>
        <w:adjustRightInd w:val="0"/>
        <w:spacing w:line="560" w:lineRule="exact"/>
        <w:ind w:firstLine="640" w:firstLineChars="200"/>
        <w:rPr>
          <w:rFonts w:hint="eastAsia" w:ascii="仿宋_GB2312"/>
          <w:color w:val="auto"/>
          <w:sz w:val="32"/>
          <w:szCs w:val="32"/>
        </w:rPr>
      </w:pPr>
      <w:r>
        <w:rPr>
          <w:rFonts w:hint="eastAsia" w:ascii="仿宋_GB2312"/>
          <w:color w:val="auto"/>
          <w:sz w:val="32"/>
          <w:szCs w:val="32"/>
        </w:rPr>
        <w:t>(1)工作目标管理</w:t>
      </w:r>
    </w:p>
    <w:p>
      <w:pPr>
        <w:adjustRightInd w:val="0"/>
        <w:spacing w:line="560" w:lineRule="exact"/>
        <w:ind w:firstLine="640" w:firstLineChars="200"/>
        <w:rPr>
          <w:rFonts w:hint="eastAsia" w:ascii="仿宋_GB2312"/>
          <w:color w:val="auto"/>
          <w:sz w:val="32"/>
          <w:szCs w:val="32"/>
        </w:rPr>
      </w:pPr>
      <w:r>
        <w:rPr>
          <w:rFonts w:hint="eastAsia" w:ascii="仿宋_GB2312"/>
          <w:color w:val="auto"/>
          <w:sz w:val="32"/>
          <w:szCs w:val="32"/>
        </w:rPr>
        <w:t>①年度履职目标相关性</w:t>
      </w:r>
      <w:r>
        <w:rPr>
          <w:rFonts w:hint="eastAsia" w:ascii="仿宋_GB2312"/>
          <w:color w:val="auto"/>
          <w:sz w:val="32"/>
          <w:szCs w:val="32"/>
          <w:lang w:eastAsia="zh-CN"/>
        </w:rPr>
        <w:t>，指标</w:t>
      </w:r>
      <w:r>
        <w:rPr>
          <w:rFonts w:hint="eastAsia" w:ascii="仿宋_GB2312"/>
          <w:color w:val="auto"/>
          <w:sz w:val="32"/>
          <w:szCs w:val="32"/>
          <w:lang w:val="en-US" w:eastAsia="zh-CN"/>
        </w:rPr>
        <w:t>1分，得1分</w:t>
      </w:r>
      <w:r>
        <w:rPr>
          <w:rFonts w:hint="eastAsia" w:ascii="仿宋_GB2312"/>
          <w:color w:val="auto"/>
          <w:sz w:val="32"/>
          <w:szCs w:val="32"/>
          <w:lang w:eastAsia="zh-CN"/>
        </w:rPr>
        <w:t>。</w:t>
      </w:r>
      <w:r>
        <w:rPr>
          <w:rFonts w:hint="eastAsia" w:ascii="仿宋_GB2312"/>
          <w:color w:val="auto"/>
          <w:sz w:val="32"/>
          <w:szCs w:val="32"/>
        </w:rPr>
        <w:t>我单位</w:t>
      </w:r>
      <w:r>
        <w:rPr>
          <w:rFonts w:hint="eastAsia" w:ascii="仿宋_GB2312"/>
          <w:color w:val="auto"/>
          <w:sz w:val="32"/>
          <w:szCs w:val="32"/>
          <w:lang w:eastAsia="zh-CN"/>
        </w:rPr>
        <w:t>根据是实际工作需要</w:t>
      </w:r>
      <w:r>
        <w:rPr>
          <w:rFonts w:hint="eastAsia" w:ascii="仿宋_GB2312"/>
          <w:color w:val="auto"/>
          <w:sz w:val="32"/>
          <w:szCs w:val="32"/>
        </w:rPr>
        <w:t>，制定了年度目标。符合国家、省、市政府战略部署和发展规划，与国家、省、市宏观政策、行政政策一致；目标与部门职责、工作规划和重点工作相关；确定的预算项目合理，与工作目标密切相关；工作任务和项目预算安排合理。</w:t>
      </w:r>
    </w:p>
    <w:p>
      <w:pPr>
        <w:adjustRightInd w:val="0"/>
        <w:spacing w:line="560" w:lineRule="exact"/>
        <w:ind w:firstLine="640" w:firstLineChars="200"/>
        <w:rPr>
          <w:rFonts w:hint="eastAsia" w:ascii="仿宋_GB2312"/>
          <w:color w:val="auto"/>
          <w:sz w:val="32"/>
          <w:szCs w:val="32"/>
        </w:rPr>
      </w:pPr>
      <w:r>
        <w:rPr>
          <w:rFonts w:hint="eastAsia" w:ascii="仿宋_GB2312"/>
          <w:color w:val="auto"/>
          <w:sz w:val="32"/>
          <w:szCs w:val="32"/>
        </w:rPr>
        <w:t>②工作任务科学性</w:t>
      </w:r>
      <w:r>
        <w:rPr>
          <w:rFonts w:hint="eastAsia" w:ascii="仿宋_GB2312"/>
          <w:color w:val="auto"/>
          <w:sz w:val="32"/>
          <w:szCs w:val="32"/>
          <w:lang w:eastAsia="zh-CN"/>
        </w:rPr>
        <w:t>，指标</w:t>
      </w:r>
      <w:r>
        <w:rPr>
          <w:rFonts w:hint="eastAsia" w:ascii="仿宋_GB2312"/>
          <w:color w:val="auto"/>
          <w:sz w:val="32"/>
          <w:szCs w:val="32"/>
          <w:lang w:val="en-US" w:eastAsia="zh-CN"/>
        </w:rPr>
        <w:t>1分，得1分</w:t>
      </w:r>
      <w:r>
        <w:rPr>
          <w:rFonts w:hint="eastAsia" w:ascii="仿宋_GB2312"/>
          <w:color w:val="auto"/>
          <w:sz w:val="32"/>
          <w:szCs w:val="32"/>
          <w:lang w:eastAsia="zh-CN"/>
        </w:rPr>
        <w:t>。</w:t>
      </w:r>
      <w:r>
        <w:rPr>
          <w:rFonts w:hint="eastAsia" w:ascii="仿宋_GB2312"/>
          <w:color w:val="auto"/>
          <w:sz w:val="32"/>
          <w:szCs w:val="32"/>
        </w:rPr>
        <w:t>我单位制定了主要工作任务，有明确的绩效目标，工作任务对应的预算项目有明确的绩效目标，绩效目标与部门职责目标、工作任务目标一致，能体现预算项目的产出和效果。</w:t>
      </w:r>
    </w:p>
    <w:p>
      <w:pPr>
        <w:adjustRightInd w:val="0"/>
        <w:spacing w:line="560" w:lineRule="exact"/>
        <w:ind w:firstLine="640" w:firstLineChars="200"/>
        <w:rPr>
          <w:rFonts w:hint="eastAsia" w:ascii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/>
          <w:color w:val="auto"/>
          <w:sz w:val="32"/>
          <w:szCs w:val="32"/>
          <w:lang w:eastAsia="zh-CN"/>
        </w:rPr>
        <w:t>③绩效指标合理性，指标</w:t>
      </w:r>
      <w:r>
        <w:rPr>
          <w:rFonts w:hint="eastAsia" w:ascii="仿宋_GB2312"/>
          <w:color w:val="auto"/>
          <w:sz w:val="32"/>
          <w:szCs w:val="32"/>
          <w:lang w:val="en-US" w:eastAsia="zh-CN"/>
        </w:rPr>
        <w:t>1分，得1分。绩效指标设置相对合理，能反映年度主要工作任务。</w:t>
      </w:r>
    </w:p>
    <w:p>
      <w:pPr>
        <w:adjustRightInd w:val="0"/>
        <w:spacing w:line="560" w:lineRule="exact"/>
        <w:ind w:firstLine="640" w:firstLineChars="200"/>
        <w:rPr>
          <w:rFonts w:hint="eastAsia" w:ascii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/>
          <w:color w:val="auto"/>
          <w:sz w:val="32"/>
          <w:szCs w:val="32"/>
          <w:lang w:val="en-US" w:eastAsia="zh-CN"/>
        </w:rPr>
        <w:t xml:space="preserve"> (2)预算和财务管理</w:t>
      </w:r>
    </w:p>
    <w:p>
      <w:pPr>
        <w:adjustRightInd w:val="0"/>
        <w:spacing w:line="560" w:lineRule="exact"/>
        <w:ind w:firstLine="640" w:firstLineChars="200"/>
        <w:rPr>
          <w:rFonts w:hint="eastAsia" w:ascii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/>
          <w:color w:val="auto"/>
          <w:sz w:val="32"/>
          <w:szCs w:val="32"/>
          <w:lang w:val="en-US" w:eastAsia="zh-CN"/>
        </w:rPr>
        <w:t>资金来源，全部纳入部门预算管理，预算编制明细到各类项，预算编制完整。</w:t>
      </w:r>
    </w:p>
    <w:p>
      <w:pPr>
        <w:adjustRightInd w:val="0"/>
        <w:spacing w:line="560" w:lineRule="exact"/>
        <w:ind w:firstLine="640" w:firstLineChars="200"/>
        <w:rPr>
          <w:rFonts w:hint="eastAsia" w:ascii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/>
          <w:color w:val="auto"/>
          <w:sz w:val="32"/>
          <w:szCs w:val="32"/>
          <w:highlight w:val="none"/>
          <w:lang w:val="en-US" w:eastAsia="zh-CN"/>
        </w:rPr>
        <w:t>①预算编制完整性，指标2分，得1分。我单位2022年预算编制按照历史金额作为编制依据，部门所有收入全部纳入部门预算，部门支出预算是统筹各类。</w:t>
      </w:r>
    </w:p>
    <w:p>
      <w:pPr>
        <w:adjustRightInd w:val="0"/>
        <w:spacing w:line="560" w:lineRule="exact"/>
        <w:ind w:firstLine="640" w:firstLineChars="200"/>
        <w:rPr>
          <w:rFonts w:hint="eastAsia" w:ascii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/>
          <w:color w:val="auto"/>
          <w:sz w:val="32"/>
          <w:szCs w:val="32"/>
          <w:highlight w:val="none"/>
          <w:lang w:val="en-US" w:eastAsia="zh-CN"/>
        </w:rPr>
        <w:t>②专项资金细化率，指标2分，得1分。我单位2022年的专项资金有待进一步细化。</w:t>
      </w:r>
    </w:p>
    <w:p>
      <w:pPr>
        <w:adjustRightInd w:val="0"/>
        <w:spacing w:line="560" w:lineRule="exact"/>
        <w:ind w:firstLine="640" w:firstLineChars="200"/>
        <w:rPr>
          <w:rFonts w:hint="eastAsia" w:ascii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/>
          <w:color w:val="auto"/>
          <w:sz w:val="32"/>
          <w:szCs w:val="32"/>
          <w:highlight w:val="none"/>
          <w:lang w:val="en-US" w:eastAsia="zh-CN"/>
        </w:rPr>
        <w:t>③预算调整率，指标2分，得0分。2022年我单位年初预算650.1万元，年中追加预算28014.2万元，全年总预算28664.34万元，全年实际执行数16848.83万元，预算执行率58.78%。</w:t>
      </w:r>
    </w:p>
    <w:p>
      <w:pPr>
        <w:adjustRightInd w:val="0"/>
        <w:spacing w:line="560" w:lineRule="exact"/>
        <w:ind w:firstLine="640" w:firstLineChars="200"/>
        <w:rPr>
          <w:rFonts w:hint="eastAsia" w:ascii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/>
          <w:color w:val="auto"/>
          <w:sz w:val="32"/>
          <w:szCs w:val="32"/>
          <w:highlight w:val="none"/>
          <w:lang w:val="en-US" w:eastAsia="zh-CN"/>
        </w:rPr>
        <w:t>④结转结余率，指标1分，得0分。2022年我单位年底结余11815.51万元，2021年我单位年底结余1579.29万元，结余率648.50%。</w:t>
      </w:r>
    </w:p>
    <w:p>
      <w:pPr>
        <w:adjustRightInd w:val="0"/>
        <w:spacing w:line="560" w:lineRule="exact"/>
        <w:ind w:firstLine="640" w:firstLineChars="200"/>
        <w:rPr>
          <w:rFonts w:hint="eastAsia" w:ascii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/>
          <w:color w:val="auto"/>
          <w:sz w:val="32"/>
          <w:szCs w:val="32"/>
          <w:highlight w:val="none"/>
          <w:lang w:val="en-US" w:eastAsia="zh-CN"/>
        </w:rPr>
        <w:t>⑤“三公经费”控制率，指标1分，得0分。我单位2022年三公预算数6万元，2022年三公经费执行数8.57万元，控制率142.83%。</w:t>
      </w:r>
    </w:p>
    <w:p>
      <w:pPr>
        <w:adjustRightInd w:val="0"/>
        <w:spacing w:line="560" w:lineRule="exact"/>
        <w:ind w:firstLine="640" w:firstLineChars="200"/>
        <w:rPr>
          <w:rFonts w:hint="eastAsia" w:ascii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/>
          <w:color w:val="auto"/>
          <w:sz w:val="32"/>
          <w:szCs w:val="32"/>
          <w:lang w:val="en-US" w:eastAsia="zh-CN"/>
        </w:rPr>
        <w:t>⑥政府采购执行率，指标2分，得1分。我单位2022年计划采购项目全部通过政府采购方式确定供应商。</w:t>
      </w:r>
    </w:p>
    <w:p>
      <w:pPr>
        <w:adjustRightInd w:val="0"/>
        <w:spacing w:line="560" w:lineRule="exact"/>
        <w:ind w:firstLine="640" w:firstLineChars="200"/>
        <w:rPr>
          <w:rFonts w:hint="eastAsia" w:ascii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/>
          <w:color w:val="auto"/>
          <w:sz w:val="32"/>
          <w:szCs w:val="32"/>
          <w:lang w:val="en-US" w:eastAsia="zh-CN"/>
        </w:rPr>
        <w:t>⑦决算真实性，指标1分，得1分。我单位2022年决算编制数据真实，决算报表数据与会计账等数据一致。</w:t>
      </w:r>
    </w:p>
    <w:p>
      <w:pPr>
        <w:adjustRightInd w:val="0"/>
        <w:spacing w:line="560" w:lineRule="exact"/>
        <w:ind w:firstLine="640" w:firstLineChars="200"/>
        <w:rPr>
          <w:rFonts w:hint="eastAsia" w:ascii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/>
          <w:color w:val="auto"/>
          <w:sz w:val="32"/>
          <w:szCs w:val="32"/>
          <w:lang w:val="en-US" w:eastAsia="zh-CN"/>
        </w:rPr>
        <w:t>⑧资金使用合规性，指标2分，得2分。我单位参照相关国家法律法规，在《内部控制基本制度》中制定了财务管理、资产管理等相关管理办法，符合国家财经法规、财务法规和财务管理制度以及有关专项资金管理办法的规定；资金的拨付有完整的审批程序和手续；项目的重大开支需经过评估论证；符合部门预算批复的用途；2022年度资金不存在截留支出情况；不存在挪用支出情况；不存在虚列支出情况。</w:t>
      </w:r>
    </w:p>
    <w:p>
      <w:pPr>
        <w:adjustRightInd w:val="0"/>
        <w:spacing w:line="560" w:lineRule="exact"/>
        <w:ind w:firstLine="640" w:firstLineChars="200"/>
        <w:rPr>
          <w:rFonts w:hint="eastAsia" w:ascii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/>
          <w:color w:val="auto"/>
          <w:sz w:val="32"/>
          <w:szCs w:val="32"/>
          <w:lang w:val="en-US" w:eastAsia="zh-CN"/>
        </w:rPr>
        <w:t>⑨管理制度健全性，指标1分，得1分。我单位根据相关法律法规制度，制定了《专项资金管理办法》和完整的内控制度，且2022年我单位均未发生资金支出、工作执行方面的违规情况，管理制度有效。</w:t>
      </w:r>
    </w:p>
    <w:p>
      <w:pPr>
        <w:adjustRightInd w:val="0"/>
        <w:spacing w:line="560" w:lineRule="exact"/>
        <w:ind w:firstLine="640" w:firstLineChars="200"/>
        <w:rPr>
          <w:rFonts w:hint="eastAsia" w:ascii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/>
          <w:color w:val="auto"/>
          <w:sz w:val="32"/>
          <w:szCs w:val="32"/>
          <w:lang w:val="en-US" w:eastAsia="zh-CN"/>
        </w:rPr>
        <w:t>⑩预决算信息公开性，指标2分，得2分。我单位认真落实《中华人民共和国政府信息公开条例》，按照政府要求，做到“应公开，尽公开”。2022年预算信息已在“平顶山市人民政府官网”公开，2022年决算信息待平顶山市财政局审批通过，将按照要求及时公开。</w:t>
      </w:r>
    </w:p>
    <w:p>
      <w:pPr>
        <w:adjustRightInd w:val="0"/>
        <w:spacing w:line="560" w:lineRule="exact"/>
        <w:ind w:firstLine="640" w:firstLineChars="200"/>
        <w:rPr>
          <w:rFonts w:hint="eastAsia" w:ascii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/>
          <w:color w:val="auto"/>
          <w:sz w:val="32"/>
          <w:szCs w:val="32"/>
          <w:lang w:val="en-US" w:eastAsia="zh-CN"/>
        </w:rPr>
        <w:t>⑪资产管理规范性，指标2分，得2分。我单位严格按照《国有资产管理内控制度》要求，资产配置、使用合规，处置规范，资产及时规范入账，资产报表数据与会计账等数据相符，资产实物与财务账、资产账相符。</w:t>
      </w:r>
    </w:p>
    <w:p>
      <w:pPr>
        <w:adjustRightInd w:val="0"/>
        <w:spacing w:line="560" w:lineRule="exact"/>
        <w:ind w:firstLine="640" w:firstLineChars="200"/>
        <w:rPr>
          <w:rFonts w:hint="eastAsia" w:ascii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/>
          <w:color w:val="auto"/>
          <w:sz w:val="32"/>
          <w:szCs w:val="32"/>
          <w:lang w:val="en-US" w:eastAsia="zh-CN"/>
        </w:rPr>
        <w:t>（3）绩效管理</w:t>
      </w:r>
    </w:p>
    <w:p>
      <w:pPr>
        <w:adjustRightInd w:val="0"/>
        <w:spacing w:line="560" w:lineRule="exact"/>
        <w:ind w:firstLine="640" w:firstLineChars="200"/>
        <w:rPr>
          <w:rFonts w:hint="default" w:ascii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/>
          <w:color w:val="auto"/>
          <w:sz w:val="32"/>
          <w:szCs w:val="32"/>
          <w:lang w:val="en-US" w:eastAsia="zh-CN"/>
        </w:rPr>
        <w:t>①绩效监控完成率，指标2分，得2分。2022年度我单位所实施项目，均按照实际开展绩效监控，部门绩效监控完成率为100%。</w:t>
      </w:r>
    </w:p>
    <w:p>
      <w:pPr>
        <w:adjustRightInd w:val="0"/>
        <w:spacing w:line="560" w:lineRule="exact"/>
        <w:ind w:firstLine="640" w:firstLineChars="200"/>
        <w:rPr>
          <w:rFonts w:hint="eastAsia" w:ascii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/>
          <w:color w:val="auto"/>
          <w:sz w:val="32"/>
          <w:szCs w:val="32"/>
          <w:lang w:val="en-US" w:eastAsia="zh-CN"/>
        </w:rPr>
        <w:t>②绩效自评完成率，指标2分，得2分。</w:t>
      </w:r>
    </w:p>
    <w:p>
      <w:pPr>
        <w:adjustRightInd w:val="0"/>
        <w:spacing w:line="560" w:lineRule="exact"/>
        <w:ind w:firstLine="640" w:firstLineChars="200"/>
        <w:rPr>
          <w:rFonts w:hint="eastAsia" w:ascii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/>
          <w:color w:val="auto"/>
          <w:sz w:val="32"/>
          <w:szCs w:val="32"/>
          <w:lang w:val="en-US" w:eastAsia="zh-CN"/>
        </w:rPr>
        <w:t>2022年度我单位所实施项目，均按照实际开展绩效自评。部门绩效自评完成率为100%。</w:t>
      </w:r>
    </w:p>
    <w:p>
      <w:pPr>
        <w:adjustRightInd w:val="0"/>
        <w:spacing w:line="560" w:lineRule="exact"/>
        <w:ind w:firstLine="640" w:firstLineChars="200"/>
        <w:rPr>
          <w:rFonts w:hint="eastAsia" w:ascii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/>
          <w:color w:val="auto"/>
          <w:sz w:val="32"/>
          <w:szCs w:val="32"/>
          <w:lang w:val="en-US" w:eastAsia="zh-CN"/>
        </w:rPr>
        <w:t>③评价结果应用率，指标1分，得1分。</w:t>
      </w:r>
    </w:p>
    <w:p>
      <w:pPr>
        <w:adjustRightInd w:val="0"/>
        <w:spacing w:line="560" w:lineRule="exact"/>
        <w:ind w:firstLine="640" w:firstLineChars="200"/>
        <w:rPr>
          <w:rFonts w:hint="eastAsia" w:ascii="仿宋_GB2312"/>
          <w:color w:val="auto"/>
          <w:sz w:val="32"/>
          <w:szCs w:val="32"/>
        </w:rPr>
      </w:pPr>
      <w:r>
        <w:rPr>
          <w:rFonts w:hint="eastAsia" w:ascii="仿宋_GB2312"/>
          <w:color w:val="auto"/>
          <w:sz w:val="32"/>
          <w:szCs w:val="32"/>
          <w:lang w:val="en-US" w:eastAsia="zh-CN"/>
        </w:rPr>
        <w:t>2022年度我单位财政重点绩效评价提出建议。评价结果应用率100%。</w:t>
      </w:r>
    </w:p>
    <w:p>
      <w:pPr>
        <w:adjustRightInd w:val="0"/>
        <w:spacing w:line="560" w:lineRule="exact"/>
        <w:ind w:firstLine="640" w:firstLineChars="200"/>
        <w:rPr>
          <w:rFonts w:hint="eastAsia" w:ascii="仿宋_GB2312"/>
          <w:color w:val="auto"/>
          <w:sz w:val="32"/>
          <w:szCs w:val="32"/>
        </w:rPr>
      </w:pPr>
      <w:r>
        <w:rPr>
          <w:rFonts w:hint="eastAsia" w:ascii="仿宋_GB2312"/>
          <w:color w:val="auto"/>
          <w:sz w:val="32"/>
          <w:szCs w:val="32"/>
        </w:rPr>
        <w:t>2.产出指标完成况分析</w:t>
      </w:r>
    </w:p>
    <w:p>
      <w:pPr>
        <w:adjustRightInd w:val="0"/>
        <w:spacing w:line="560" w:lineRule="exact"/>
        <w:ind w:firstLine="640" w:firstLineChars="200"/>
        <w:rPr>
          <w:rFonts w:hint="eastAsia" w:ascii="仿宋_GB2312"/>
          <w:color w:val="auto"/>
          <w:sz w:val="32"/>
          <w:szCs w:val="32"/>
        </w:rPr>
      </w:pPr>
      <w:r>
        <w:rPr>
          <w:rFonts w:hint="eastAsia" w:ascii="仿宋_GB2312"/>
          <w:color w:val="auto"/>
          <w:sz w:val="32"/>
          <w:szCs w:val="32"/>
        </w:rPr>
        <w:t>(1)重点工作任务完成</w:t>
      </w:r>
    </w:p>
    <w:p>
      <w:pPr>
        <w:adjustRightInd w:val="0"/>
        <w:spacing w:line="560" w:lineRule="exact"/>
        <w:ind w:firstLine="640" w:firstLineChars="200"/>
        <w:rPr>
          <w:rFonts w:hint="eastAsia" w:ascii="仿宋_GB2312"/>
          <w:color w:val="auto"/>
          <w:sz w:val="32"/>
          <w:szCs w:val="32"/>
        </w:rPr>
      </w:pPr>
      <w:r>
        <w:rPr>
          <w:rFonts w:hint="eastAsia" w:ascii="仿宋_GB2312"/>
          <w:color w:val="auto"/>
          <w:sz w:val="32"/>
          <w:szCs w:val="32"/>
        </w:rPr>
        <w:t>①重点工作1计划完成率：平顶山市电子政务外网运维</w:t>
      </w:r>
      <w:r>
        <w:rPr>
          <w:rFonts w:hint="eastAsia" w:ascii="仿宋_GB2312"/>
          <w:color w:val="auto"/>
          <w:sz w:val="32"/>
          <w:szCs w:val="32"/>
          <w:lang w:eastAsia="zh-CN"/>
        </w:rPr>
        <w:t>，</w:t>
      </w:r>
      <w:r>
        <w:rPr>
          <w:rFonts w:hint="eastAsia" w:ascii="仿宋_GB2312"/>
          <w:color w:val="auto"/>
          <w:sz w:val="32"/>
          <w:szCs w:val="32"/>
        </w:rPr>
        <w:t>指标</w:t>
      </w:r>
      <w:r>
        <w:rPr>
          <w:rFonts w:hint="eastAsia" w:ascii="仿宋_GB2312"/>
          <w:color w:val="auto"/>
          <w:sz w:val="32"/>
          <w:szCs w:val="32"/>
          <w:lang w:val="en-US" w:eastAsia="zh-CN"/>
        </w:rPr>
        <w:t>2</w:t>
      </w:r>
      <w:r>
        <w:rPr>
          <w:rFonts w:hint="eastAsia" w:ascii="仿宋_GB2312"/>
          <w:color w:val="auto"/>
          <w:sz w:val="32"/>
          <w:szCs w:val="32"/>
        </w:rPr>
        <w:t>分，得</w:t>
      </w:r>
      <w:r>
        <w:rPr>
          <w:rFonts w:hint="eastAsia" w:ascii="仿宋_GB2312"/>
          <w:color w:val="auto"/>
          <w:sz w:val="32"/>
          <w:szCs w:val="32"/>
          <w:lang w:val="en-US" w:eastAsia="zh-CN"/>
        </w:rPr>
        <w:t>2</w:t>
      </w:r>
      <w:r>
        <w:rPr>
          <w:rFonts w:hint="eastAsia" w:ascii="仿宋_GB2312"/>
          <w:color w:val="auto"/>
          <w:sz w:val="32"/>
          <w:szCs w:val="32"/>
        </w:rPr>
        <w:t>分。重点工作1实际完成率100%。</w:t>
      </w:r>
    </w:p>
    <w:p>
      <w:pPr>
        <w:adjustRightInd w:val="0"/>
        <w:spacing w:line="560" w:lineRule="exact"/>
        <w:ind w:firstLine="640" w:firstLineChars="200"/>
        <w:rPr>
          <w:rFonts w:hint="eastAsia" w:ascii="仿宋_GB2312"/>
          <w:color w:val="auto"/>
          <w:sz w:val="32"/>
          <w:szCs w:val="32"/>
        </w:rPr>
      </w:pPr>
      <w:r>
        <w:rPr>
          <w:rFonts w:hint="eastAsia" w:ascii="仿宋_GB2312"/>
          <w:color w:val="auto"/>
          <w:sz w:val="32"/>
          <w:szCs w:val="32"/>
        </w:rPr>
        <w:t>②重点工作2计划完成率：平顶山市“互联网+政务服务”建设项目系统运维,指标2分，得2分。重点工作2实际完成率100%。</w:t>
      </w:r>
    </w:p>
    <w:p>
      <w:pPr>
        <w:adjustRightInd w:val="0"/>
        <w:spacing w:line="560" w:lineRule="exact"/>
        <w:ind w:firstLine="640" w:firstLineChars="200"/>
        <w:rPr>
          <w:rFonts w:hint="eastAsia" w:ascii="仿宋_GB2312"/>
          <w:color w:val="auto"/>
          <w:sz w:val="32"/>
          <w:szCs w:val="32"/>
        </w:rPr>
      </w:pPr>
      <w:r>
        <w:rPr>
          <w:rFonts w:hint="eastAsia" w:ascii="仿宋_GB2312"/>
          <w:color w:val="auto"/>
          <w:sz w:val="32"/>
          <w:szCs w:val="32"/>
        </w:rPr>
        <w:t>③重点工作3计划完成率：“豫正通”项目,指标</w:t>
      </w:r>
      <w:r>
        <w:rPr>
          <w:rFonts w:hint="eastAsia" w:ascii="仿宋_GB2312"/>
          <w:color w:val="auto"/>
          <w:sz w:val="32"/>
          <w:szCs w:val="32"/>
          <w:lang w:val="en-US" w:eastAsia="zh-CN"/>
        </w:rPr>
        <w:t>2</w:t>
      </w:r>
      <w:r>
        <w:rPr>
          <w:rFonts w:hint="eastAsia" w:ascii="仿宋_GB2312"/>
          <w:color w:val="auto"/>
          <w:sz w:val="32"/>
          <w:szCs w:val="32"/>
        </w:rPr>
        <w:t>分，得</w:t>
      </w:r>
      <w:r>
        <w:rPr>
          <w:rFonts w:hint="eastAsia" w:ascii="仿宋_GB2312"/>
          <w:color w:val="auto"/>
          <w:sz w:val="32"/>
          <w:szCs w:val="32"/>
          <w:lang w:val="en-US" w:eastAsia="zh-CN"/>
        </w:rPr>
        <w:t>2</w:t>
      </w:r>
      <w:r>
        <w:rPr>
          <w:rFonts w:hint="eastAsia" w:ascii="仿宋_GB2312"/>
          <w:color w:val="auto"/>
          <w:sz w:val="32"/>
          <w:szCs w:val="32"/>
        </w:rPr>
        <w:t>分。重点工作3实际完成率100%。</w:t>
      </w:r>
    </w:p>
    <w:p>
      <w:pPr>
        <w:adjustRightInd w:val="0"/>
        <w:spacing w:line="560" w:lineRule="exact"/>
        <w:ind w:firstLine="640" w:firstLineChars="200"/>
        <w:rPr>
          <w:rFonts w:hint="eastAsia" w:ascii="仿宋_GB2312"/>
          <w:color w:val="auto"/>
          <w:sz w:val="32"/>
          <w:szCs w:val="32"/>
        </w:rPr>
      </w:pPr>
      <w:r>
        <w:rPr>
          <w:rFonts w:hint="eastAsia" w:ascii="仿宋_GB2312"/>
          <w:color w:val="auto"/>
          <w:sz w:val="32"/>
          <w:szCs w:val="32"/>
        </w:rPr>
        <w:t>④重点工作4计划完成率：政务云资源购买服务及评估,指标2分，得2分。重点工作4实际完成率100%。</w:t>
      </w:r>
    </w:p>
    <w:p>
      <w:pPr>
        <w:adjustRightInd w:val="0"/>
        <w:spacing w:line="560" w:lineRule="exact"/>
        <w:ind w:firstLine="640" w:firstLineChars="200"/>
        <w:rPr>
          <w:rFonts w:hint="eastAsia" w:ascii="仿宋_GB2312"/>
          <w:color w:val="auto"/>
          <w:sz w:val="32"/>
          <w:szCs w:val="32"/>
          <w:lang w:eastAsia="zh-CN"/>
        </w:rPr>
      </w:pPr>
      <w:r>
        <w:rPr>
          <w:rFonts w:hint="eastAsia" w:ascii="仿宋_GB2312"/>
          <w:color w:val="auto"/>
          <w:sz w:val="32"/>
          <w:szCs w:val="32"/>
        </w:rPr>
        <w:t>⑤重点工作5计划完成率：城运中心,指标2分，得2分。重点工作5实际完成率100%</w:t>
      </w:r>
      <w:r>
        <w:rPr>
          <w:rFonts w:hint="eastAsia" w:ascii="仿宋_GB2312"/>
          <w:color w:val="auto"/>
          <w:sz w:val="32"/>
          <w:szCs w:val="32"/>
          <w:lang w:eastAsia="zh-CN"/>
        </w:rPr>
        <w:t>等。</w:t>
      </w:r>
    </w:p>
    <w:p>
      <w:pPr>
        <w:adjustRightInd w:val="0"/>
        <w:spacing w:line="560" w:lineRule="exact"/>
        <w:ind w:firstLine="640" w:firstLineChars="200"/>
        <w:rPr>
          <w:rFonts w:hint="eastAsia" w:ascii="仿宋_GB2312"/>
          <w:color w:val="auto"/>
          <w:sz w:val="32"/>
          <w:szCs w:val="32"/>
        </w:rPr>
      </w:pPr>
      <w:r>
        <w:rPr>
          <w:rFonts w:hint="eastAsia" w:ascii="仿宋_GB2312"/>
          <w:color w:val="auto"/>
          <w:sz w:val="32"/>
          <w:szCs w:val="32"/>
        </w:rPr>
        <w:t>(2)</w:t>
      </w:r>
      <w:r>
        <w:rPr>
          <w:rFonts w:hint="eastAsia" w:ascii="仿宋_GB2312"/>
          <w:color w:val="auto"/>
          <w:sz w:val="32"/>
          <w:szCs w:val="32"/>
          <w:lang w:eastAsia="zh-CN"/>
        </w:rPr>
        <w:t>履职</w:t>
      </w:r>
      <w:r>
        <w:rPr>
          <w:rFonts w:hint="eastAsia" w:ascii="仿宋_GB2312"/>
          <w:color w:val="auto"/>
          <w:sz w:val="32"/>
          <w:szCs w:val="32"/>
        </w:rPr>
        <w:t>目标实现</w:t>
      </w:r>
    </w:p>
    <w:p>
      <w:pPr>
        <w:adjustRightInd w:val="0"/>
        <w:spacing w:line="560" w:lineRule="exact"/>
        <w:ind w:firstLine="640" w:firstLineChars="200"/>
        <w:rPr>
          <w:rFonts w:hint="eastAsia" w:ascii="仿宋_GB2312"/>
          <w:color w:val="auto"/>
          <w:sz w:val="32"/>
          <w:szCs w:val="32"/>
        </w:rPr>
      </w:pPr>
      <w:r>
        <w:rPr>
          <w:rFonts w:hint="eastAsia" w:ascii="仿宋_GB2312"/>
          <w:color w:val="auto"/>
          <w:sz w:val="32"/>
          <w:szCs w:val="32"/>
        </w:rPr>
        <w:t>①年度工作目标1实现率：政务服务能力提升。指标</w:t>
      </w:r>
      <w:r>
        <w:rPr>
          <w:rFonts w:hint="eastAsia" w:ascii="仿宋_GB2312"/>
          <w:color w:val="auto"/>
          <w:sz w:val="32"/>
          <w:szCs w:val="32"/>
          <w:lang w:val="en-US" w:eastAsia="zh-CN"/>
        </w:rPr>
        <w:t>2</w:t>
      </w:r>
      <w:r>
        <w:rPr>
          <w:rFonts w:hint="eastAsia" w:ascii="仿宋_GB2312"/>
          <w:color w:val="auto"/>
          <w:sz w:val="32"/>
          <w:szCs w:val="32"/>
        </w:rPr>
        <w:t>分，得</w:t>
      </w:r>
      <w:r>
        <w:rPr>
          <w:rFonts w:hint="eastAsia" w:ascii="仿宋_GB2312"/>
          <w:color w:val="auto"/>
          <w:sz w:val="32"/>
          <w:szCs w:val="32"/>
          <w:lang w:val="en-US" w:eastAsia="zh-CN"/>
        </w:rPr>
        <w:t>2</w:t>
      </w:r>
      <w:r>
        <w:rPr>
          <w:rFonts w:hint="eastAsia" w:ascii="仿宋_GB2312"/>
          <w:color w:val="auto"/>
          <w:sz w:val="32"/>
          <w:szCs w:val="32"/>
        </w:rPr>
        <w:t>分。年度工作目标1实现率100%。</w:t>
      </w:r>
    </w:p>
    <w:p>
      <w:pPr>
        <w:adjustRightInd w:val="0"/>
        <w:spacing w:line="560" w:lineRule="exact"/>
        <w:ind w:firstLine="640" w:firstLineChars="200"/>
        <w:rPr>
          <w:rFonts w:hint="eastAsia" w:ascii="仿宋_GB2312"/>
          <w:color w:val="auto"/>
          <w:sz w:val="32"/>
          <w:szCs w:val="32"/>
        </w:rPr>
      </w:pPr>
      <w:r>
        <w:rPr>
          <w:rFonts w:hint="eastAsia" w:ascii="仿宋_GB2312"/>
          <w:color w:val="auto"/>
          <w:sz w:val="32"/>
          <w:szCs w:val="32"/>
        </w:rPr>
        <w:t>②年度工作目标2实现率：推进城市运行管理指挥中心建设。指标</w:t>
      </w:r>
      <w:r>
        <w:rPr>
          <w:rFonts w:hint="eastAsia" w:ascii="仿宋_GB2312"/>
          <w:color w:val="auto"/>
          <w:sz w:val="32"/>
          <w:szCs w:val="32"/>
          <w:lang w:val="en-US" w:eastAsia="zh-CN"/>
        </w:rPr>
        <w:t>2</w:t>
      </w:r>
      <w:r>
        <w:rPr>
          <w:rFonts w:hint="eastAsia" w:ascii="仿宋_GB2312"/>
          <w:color w:val="auto"/>
          <w:sz w:val="32"/>
          <w:szCs w:val="32"/>
        </w:rPr>
        <w:t>分，得</w:t>
      </w:r>
      <w:r>
        <w:rPr>
          <w:rFonts w:hint="eastAsia" w:ascii="仿宋_GB2312"/>
          <w:color w:val="auto"/>
          <w:sz w:val="32"/>
          <w:szCs w:val="32"/>
          <w:lang w:val="en-US" w:eastAsia="zh-CN"/>
        </w:rPr>
        <w:t>2</w:t>
      </w:r>
      <w:r>
        <w:rPr>
          <w:rFonts w:hint="eastAsia" w:ascii="仿宋_GB2312"/>
          <w:color w:val="auto"/>
          <w:sz w:val="32"/>
          <w:szCs w:val="32"/>
        </w:rPr>
        <w:t>分。年度工作目标2实现率100%。</w:t>
      </w:r>
    </w:p>
    <w:p>
      <w:pPr>
        <w:adjustRightInd w:val="0"/>
        <w:spacing w:line="560" w:lineRule="exact"/>
        <w:ind w:firstLine="640" w:firstLineChars="200"/>
        <w:rPr>
          <w:rFonts w:hint="eastAsia" w:ascii="仿宋_GB2312"/>
          <w:color w:val="auto"/>
          <w:sz w:val="32"/>
          <w:szCs w:val="32"/>
        </w:rPr>
      </w:pPr>
      <w:r>
        <w:rPr>
          <w:rFonts w:hint="eastAsia" w:ascii="仿宋_GB2312"/>
          <w:color w:val="auto"/>
          <w:sz w:val="32"/>
          <w:szCs w:val="32"/>
        </w:rPr>
        <w:t>③年度工作目标3实现率：疫情防控工作。指标</w:t>
      </w:r>
      <w:r>
        <w:rPr>
          <w:rFonts w:hint="eastAsia" w:ascii="仿宋_GB2312"/>
          <w:color w:val="auto"/>
          <w:sz w:val="32"/>
          <w:szCs w:val="32"/>
          <w:lang w:val="en-US" w:eastAsia="zh-CN"/>
        </w:rPr>
        <w:t>2</w:t>
      </w:r>
      <w:r>
        <w:rPr>
          <w:rFonts w:hint="eastAsia" w:ascii="仿宋_GB2312"/>
          <w:color w:val="auto"/>
          <w:sz w:val="32"/>
          <w:szCs w:val="32"/>
        </w:rPr>
        <w:t>分，得</w:t>
      </w:r>
      <w:r>
        <w:rPr>
          <w:rFonts w:hint="eastAsia" w:ascii="仿宋_GB2312"/>
          <w:color w:val="auto"/>
          <w:sz w:val="32"/>
          <w:szCs w:val="32"/>
          <w:lang w:val="en-US" w:eastAsia="zh-CN"/>
        </w:rPr>
        <w:t>2</w:t>
      </w:r>
      <w:r>
        <w:rPr>
          <w:rFonts w:hint="eastAsia" w:ascii="仿宋_GB2312"/>
          <w:color w:val="auto"/>
          <w:sz w:val="32"/>
          <w:szCs w:val="32"/>
        </w:rPr>
        <w:t>分。年度工作目标3实现率100%。</w:t>
      </w:r>
    </w:p>
    <w:p>
      <w:pPr>
        <w:adjustRightInd w:val="0"/>
        <w:spacing w:line="560" w:lineRule="exact"/>
        <w:ind w:firstLine="640" w:firstLineChars="200"/>
        <w:rPr>
          <w:rFonts w:hint="eastAsia" w:ascii="仿宋_GB2312"/>
          <w:color w:val="auto"/>
          <w:sz w:val="32"/>
          <w:szCs w:val="32"/>
        </w:rPr>
      </w:pPr>
      <w:r>
        <w:rPr>
          <w:rFonts w:hint="eastAsia" w:ascii="仿宋_GB2312"/>
          <w:color w:val="auto"/>
          <w:sz w:val="32"/>
          <w:szCs w:val="32"/>
        </w:rPr>
        <w:t>④年度工作目标4实现率：保障市政务大厅正常运转。指标2分，得2分。年度工作目标4实现率100%。</w:t>
      </w:r>
    </w:p>
    <w:p>
      <w:pPr>
        <w:numPr>
          <w:ilvl w:val="0"/>
          <w:numId w:val="1"/>
        </w:numPr>
        <w:adjustRightInd w:val="0"/>
        <w:spacing w:line="560" w:lineRule="exact"/>
        <w:ind w:firstLine="640" w:firstLineChars="200"/>
        <w:rPr>
          <w:rFonts w:ascii="仿宋_GB2312"/>
          <w:color w:val="auto"/>
          <w:sz w:val="32"/>
          <w:szCs w:val="32"/>
        </w:rPr>
      </w:pPr>
      <w:r>
        <w:rPr>
          <w:rFonts w:hint="eastAsia" w:ascii="仿宋_GB2312"/>
          <w:color w:val="auto"/>
          <w:sz w:val="32"/>
          <w:szCs w:val="32"/>
          <w:lang w:eastAsia="zh-CN"/>
        </w:rPr>
        <w:t>效益指标完成</w:t>
      </w:r>
      <w:r>
        <w:rPr>
          <w:rFonts w:ascii="仿宋_GB2312"/>
          <w:color w:val="auto"/>
          <w:sz w:val="32"/>
          <w:szCs w:val="32"/>
        </w:rPr>
        <w:t>情况</w:t>
      </w:r>
      <w:r>
        <w:rPr>
          <w:rFonts w:hint="eastAsia" w:ascii="仿宋_GB2312"/>
          <w:color w:val="auto"/>
          <w:sz w:val="32"/>
          <w:szCs w:val="32"/>
          <w:lang w:eastAsia="zh-CN"/>
        </w:rPr>
        <w:t>分析</w:t>
      </w:r>
    </w:p>
    <w:p>
      <w:pPr>
        <w:numPr>
          <w:ilvl w:val="0"/>
          <w:numId w:val="0"/>
        </w:numPr>
        <w:adjustRightInd w:val="0"/>
        <w:spacing w:line="560" w:lineRule="exact"/>
        <w:rPr>
          <w:rFonts w:hint="eastAsia" w:ascii="仿宋_GB2312"/>
          <w:color w:val="auto"/>
          <w:sz w:val="32"/>
          <w:szCs w:val="32"/>
          <w:lang w:eastAsia="zh-CN"/>
        </w:rPr>
      </w:pPr>
      <w:r>
        <w:rPr>
          <w:rFonts w:hint="eastAsia" w:ascii="仿宋_GB2312"/>
          <w:color w:val="auto"/>
          <w:sz w:val="32"/>
          <w:szCs w:val="32"/>
          <w:lang w:val="en-US" w:eastAsia="zh-CN"/>
        </w:rPr>
        <w:t xml:space="preserve">  （1）</w:t>
      </w:r>
      <w:r>
        <w:rPr>
          <w:rFonts w:hint="eastAsia" w:ascii="仿宋_GB2312"/>
          <w:color w:val="auto"/>
          <w:sz w:val="32"/>
          <w:szCs w:val="32"/>
          <w:lang w:eastAsia="zh-CN"/>
        </w:rPr>
        <w:t>经济效益</w:t>
      </w:r>
      <w:r>
        <w:rPr>
          <w:rFonts w:hint="eastAsia" w:ascii="仿宋_GB2312"/>
          <w:color w:val="auto"/>
          <w:sz w:val="32"/>
          <w:szCs w:val="32"/>
          <w:lang w:val="en-US" w:eastAsia="zh-CN"/>
        </w:rPr>
        <w:t>:全面提升政务服务水平，减少群众线下跑腿次数，提高免证可办事项数量，统筹协调进厅审批事项，优化全市营商环境等，全力推进我市政务服务标准化、规范化、便利化。</w:t>
      </w:r>
    </w:p>
    <w:p>
      <w:pPr>
        <w:numPr>
          <w:ilvl w:val="0"/>
          <w:numId w:val="0"/>
        </w:numPr>
        <w:adjustRightInd w:val="0"/>
        <w:spacing w:line="560" w:lineRule="exact"/>
        <w:ind w:firstLine="320" w:firstLineChars="100"/>
        <w:rPr>
          <w:rFonts w:hint="eastAsia" w:ascii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/>
          <w:color w:val="auto"/>
          <w:sz w:val="32"/>
          <w:szCs w:val="32"/>
          <w:lang w:eastAsia="zh-CN"/>
        </w:rPr>
        <w:t>（</w:t>
      </w:r>
      <w:r>
        <w:rPr>
          <w:rFonts w:hint="eastAsia" w:ascii="仿宋_GB2312"/>
          <w:color w:val="auto"/>
          <w:sz w:val="32"/>
          <w:szCs w:val="32"/>
          <w:lang w:val="en-US" w:eastAsia="zh-CN"/>
        </w:rPr>
        <w:t>2</w:t>
      </w:r>
      <w:r>
        <w:rPr>
          <w:rFonts w:hint="eastAsia" w:ascii="仿宋_GB2312"/>
          <w:color w:val="auto"/>
          <w:sz w:val="32"/>
          <w:szCs w:val="32"/>
          <w:lang w:eastAsia="zh-CN"/>
        </w:rPr>
        <w:t>）社会效益：提升政民关系友好度，改善政务服务环境，</w:t>
      </w:r>
      <w:r>
        <w:rPr>
          <w:rFonts w:hint="eastAsia" w:ascii="仿宋_GB2312"/>
          <w:color w:val="auto"/>
          <w:sz w:val="32"/>
          <w:szCs w:val="32"/>
          <w:lang w:val="en-US" w:eastAsia="zh-CN"/>
        </w:rPr>
        <w:t>为企业和群众带来更标准、更规范、更便捷、更高效的办事体验。</w:t>
      </w:r>
    </w:p>
    <w:p>
      <w:pPr>
        <w:numPr>
          <w:ilvl w:val="0"/>
          <w:numId w:val="0"/>
        </w:numPr>
        <w:adjustRightInd w:val="0"/>
        <w:spacing w:line="560" w:lineRule="exact"/>
        <w:ind w:firstLine="320" w:firstLineChars="100"/>
        <w:rPr>
          <w:rFonts w:hint="default" w:ascii="仿宋_GB2312" w:eastAsia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/>
          <w:color w:val="auto"/>
          <w:sz w:val="32"/>
          <w:szCs w:val="32"/>
          <w:lang w:val="en-US" w:eastAsia="zh-CN"/>
        </w:rPr>
        <w:t>（3）满意度：</w:t>
      </w:r>
      <w:r>
        <w:rPr>
          <w:rFonts w:hint="eastAsia" w:ascii="仿宋_GB2312"/>
          <w:color w:val="auto"/>
          <w:sz w:val="32"/>
          <w:szCs w:val="32"/>
        </w:rPr>
        <w:t>政务服务好差评投诉率</w:t>
      </w:r>
      <w:r>
        <w:rPr>
          <w:rFonts w:hint="eastAsia" w:ascii="仿宋_GB2312"/>
          <w:color w:val="auto"/>
          <w:sz w:val="32"/>
          <w:szCs w:val="32"/>
          <w:lang w:eastAsia="zh-CN"/>
        </w:rPr>
        <w:t>小于</w:t>
      </w:r>
      <w:r>
        <w:rPr>
          <w:rFonts w:hint="eastAsia" w:ascii="仿宋_GB2312"/>
          <w:color w:val="auto"/>
          <w:sz w:val="32"/>
          <w:szCs w:val="32"/>
          <w:lang w:val="en-US" w:eastAsia="zh-CN"/>
        </w:rPr>
        <w:t>5%，群众办事投诉率小于5%。整体满意度较高。</w:t>
      </w:r>
    </w:p>
    <w:p>
      <w:pPr>
        <w:adjustRightInd w:val="0"/>
        <w:spacing w:line="560" w:lineRule="exact"/>
        <w:ind w:firstLine="640" w:firstLineChars="200"/>
        <w:rPr>
          <w:rFonts w:ascii="黑体" w:hAnsi="黑体" w:eastAsia="黑体" w:cs="黑体"/>
          <w:bCs/>
          <w:color w:val="auto"/>
          <w:sz w:val="32"/>
          <w:szCs w:val="32"/>
        </w:rPr>
      </w:pPr>
      <w:r>
        <w:rPr>
          <w:rFonts w:hint="eastAsia" w:ascii="黑体" w:hAnsi="黑体" w:eastAsia="黑体" w:cs="黑体"/>
          <w:bCs/>
          <w:color w:val="auto"/>
          <w:sz w:val="32"/>
          <w:szCs w:val="32"/>
        </w:rPr>
        <w:t>五、发现的主要问题和改进措施</w:t>
      </w:r>
    </w:p>
    <w:p>
      <w:pPr>
        <w:adjustRightInd w:val="0"/>
        <w:spacing w:line="560" w:lineRule="exact"/>
        <w:ind w:firstLine="640" w:firstLineChars="200"/>
        <w:rPr>
          <w:rFonts w:hint="eastAsia" w:ascii="仿宋_GB2312"/>
          <w:color w:val="auto"/>
          <w:sz w:val="32"/>
          <w:szCs w:val="32"/>
          <w:lang w:eastAsia="zh-CN"/>
        </w:rPr>
      </w:pPr>
      <w:r>
        <w:rPr>
          <w:rFonts w:hint="eastAsia" w:ascii="仿宋_GB2312"/>
          <w:color w:val="auto"/>
          <w:sz w:val="32"/>
          <w:szCs w:val="32"/>
          <w:lang w:eastAsia="zh-CN"/>
        </w:rPr>
        <w:t>（一）发现的主要问题：</w:t>
      </w:r>
    </w:p>
    <w:p>
      <w:pPr>
        <w:keepNext w:val="0"/>
        <w:keepLines w:val="0"/>
        <w:widowControl/>
        <w:suppressLineNumbers w:val="0"/>
        <w:ind w:firstLine="620" w:firstLineChars="200"/>
        <w:jc w:val="left"/>
        <w:rPr>
          <w:color w:val="auto"/>
        </w:rPr>
      </w:pPr>
      <w:r>
        <w:rPr>
          <w:rFonts w:hint="eastAsia" w:ascii="仿宋_GB2312" w:hAnsi="宋体" w:cs="仿宋_GB2312"/>
          <w:color w:val="auto"/>
          <w:kern w:val="0"/>
          <w:sz w:val="31"/>
          <w:szCs w:val="31"/>
          <w:lang w:val="en-US" w:eastAsia="zh-CN" w:bidi="ar"/>
        </w:rPr>
        <w:t>1、预算</w:t>
      </w:r>
      <w:r>
        <w:rPr>
          <w:rFonts w:ascii="仿宋_GB2312" w:hAnsi="宋体" w:eastAsia="仿宋_GB2312" w:cs="仿宋_GB2312"/>
          <w:color w:val="auto"/>
          <w:kern w:val="0"/>
          <w:sz w:val="31"/>
          <w:szCs w:val="31"/>
          <w:lang w:val="en-US" w:eastAsia="zh-CN" w:bidi="ar"/>
        </w:rPr>
        <w:t>变动率较高，预算编制</w:t>
      </w:r>
      <w:r>
        <w:rPr>
          <w:rFonts w:hint="eastAsia" w:ascii="仿宋_GB2312" w:hAnsi="宋体" w:cs="仿宋_GB2312"/>
          <w:color w:val="auto"/>
          <w:kern w:val="0"/>
          <w:sz w:val="31"/>
          <w:szCs w:val="31"/>
          <w:lang w:val="en-US" w:eastAsia="zh-CN" w:bidi="ar"/>
        </w:rPr>
        <w:t>有待提升准确度</w:t>
      </w:r>
      <w:r>
        <w:rPr>
          <w:rFonts w:ascii="仿宋_GB2312" w:hAnsi="宋体" w:eastAsia="仿宋_GB2312" w:cs="仿宋_GB2312"/>
          <w:color w:val="auto"/>
          <w:kern w:val="0"/>
          <w:sz w:val="31"/>
          <w:szCs w:val="31"/>
          <w:lang w:val="en-US" w:eastAsia="zh-CN" w:bidi="ar"/>
        </w:rPr>
        <w:t>。</w:t>
      </w:r>
      <w:r>
        <w:rPr>
          <w:rFonts w:hint="eastAsia" w:ascii="仿宋_GB2312" w:hAnsi="宋体" w:cs="仿宋_GB2312"/>
          <w:color w:val="auto"/>
          <w:kern w:val="0"/>
          <w:sz w:val="31"/>
          <w:szCs w:val="31"/>
          <w:lang w:val="en-US" w:eastAsia="zh-CN" w:bidi="ar"/>
        </w:rPr>
        <w:t>在年中资金拨付较多，需进一步细化资金申请流程，完善预算填报细节。</w:t>
      </w:r>
    </w:p>
    <w:p>
      <w:pPr>
        <w:keepNext w:val="0"/>
        <w:keepLines w:val="0"/>
        <w:widowControl/>
        <w:suppressLineNumbers w:val="0"/>
        <w:ind w:firstLine="930" w:firstLineChars="300"/>
        <w:jc w:val="left"/>
        <w:rPr>
          <w:rFonts w:hint="eastAsia" w:ascii="仿宋_GB2312" w:hAnsi="宋体" w:cs="仿宋_GB2312"/>
          <w:color w:val="auto"/>
          <w:kern w:val="0"/>
          <w:sz w:val="31"/>
          <w:szCs w:val="31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ind w:firstLine="930" w:firstLineChars="300"/>
        <w:jc w:val="left"/>
        <w:rPr>
          <w:rFonts w:hint="eastAsia" w:ascii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宋体" w:cs="仿宋_GB2312"/>
          <w:color w:val="auto"/>
          <w:kern w:val="0"/>
          <w:sz w:val="31"/>
          <w:szCs w:val="31"/>
          <w:lang w:val="en-US" w:eastAsia="zh-CN" w:bidi="ar"/>
        </w:rPr>
        <w:t>2、</w:t>
      </w:r>
      <w:r>
        <w:rPr>
          <w:rFonts w:ascii="仿宋_GB2312" w:hAnsi="宋体" w:eastAsia="仿宋_GB2312" w:cs="仿宋_GB2312"/>
          <w:color w:val="auto"/>
          <w:kern w:val="0"/>
          <w:sz w:val="31"/>
          <w:szCs w:val="31"/>
          <w:lang w:val="en-US" w:eastAsia="zh-CN" w:bidi="ar"/>
        </w:rPr>
        <w:t>项目支出管理有待加强</w:t>
      </w:r>
      <w:r>
        <w:rPr>
          <w:rFonts w:hint="eastAsia" w:ascii="仿宋_GB2312" w:hAnsi="宋体" w:cs="仿宋_GB2312"/>
          <w:color w:val="auto"/>
          <w:kern w:val="0"/>
          <w:sz w:val="31"/>
          <w:szCs w:val="31"/>
          <w:lang w:val="en-US" w:eastAsia="zh-CN" w:bidi="ar"/>
        </w:rPr>
        <w:t>，</w:t>
      </w:r>
      <w:r>
        <w:rPr>
          <w:rFonts w:ascii="仿宋_GB2312" w:hAnsi="宋体" w:eastAsia="仿宋_GB2312" w:cs="仿宋_GB2312"/>
          <w:color w:val="auto"/>
          <w:kern w:val="0"/>
          <w:sz w:val="31"/>
          <w:szCs w:val="31"/>
          <w:lang w:val="en-US" w:eastAsia="zh-CN" w:bidi="ar"/>
        </w:rPr>
        <w:t>资金使用效益</w:t>
      </w:r>
      <w:r>
        <w:rPr>
          <w:rFonts w:hint="eastAsia" w:ascii="仿宋_GB2312" w:hAnsi="宋体" w:cs="仿宋_GB2312"/>
          <w:color w:val="auto"/>
          <w:kern w:val="0"/>
          <w:sz w:val="31"/>
          <w:szCs w:val="31"/>
          <w:lang w:val="en-US" w:eastAsia="zh-CN" w:bidi="ar"/>
        </w:rPr>
        <w:t>有待加强。</w:t>
      </w:r>
      <w:r>
        <w:rPr>
          <w:rFonts w:hint="eastAsia" w:ascii="仿宋_GB2312"/>
          <w:color w:val="auto"/>
          <w:sz w:val="32"/>
          <w:szCs w:val="32"/>
          <w:lang w:val="en-US" w:eastAsia="zh-CN"/>
        </w:rPr>
        <w:t>部分项目正常开展。受制于审批手续及验收流程限制，资金支出额度较慢。</w:t>
      </w:r>
    </w:p>
    <w:p>
      <w:pPr>
        <w:numPr>
          <w:ilvl w:val="0"/>
          <w:numId w:val="2"/>
        </w:numPr>
        <w:adjustRightInd w:val="0"/>
        <w:spacing w:line="560" w:lineRule="exact"/>
        <w:ind w:firstLine="640" w:firstLineChars="200"/>
        <w:rPr>
          <w:rFonts w:hint="eastAsia" w:ascii="仿宋_GB2312"/>
          <w:color w:val="auto"/>
          <w:sz w:val="32"/>
          <w:szCs w:val="32"/>
          <w:lang w:eastAsia="zh-CN"/>
        </w:rPr>
      </w:pPr>
      <w:r>
        <w:rPr>
          <w:rFonts w:hint="eastAsia" w:ascii="仿宋_GB2312"/>
          <w:color w:val="auto"/>
          <w:sz w:val="32"/>
          <w:szCs w:val="32"/>
          <w:lang w:eastAsia="zh-CN"/>
        </w:rPr>
        <w:t>下一步的</w:t>
      </w:r>
      <w:r>
        <w:rPr>
          <w:rFonts w:hint="eastAsia" w:ascii="仿宋_GB2312"/>
          <w:color w:val="auto"/>
          <w:sz w:val="32"/>
          <w:szCs w:val="32"/>
        </w:rPr>
        <w:t>改进措施</w:t>
      </w:r>
      <w:r>
        <w:rPr>
          <w:rFonts w:hint="eastAsia" w:ascii="仿宋_GB2312"/>
          <w:color w:val="auto"/>
          <w:sz w:val="32"/>
          <w:szCs w:val="32"/>
          <w:lang w:eastAsia="zh-CN"/>
        </w:rPr>
        <w:t>：</w:t>
      </w:r>
    </w:p>
    <w:p>
      <w:pPr>
        <w:keepNext w:val="0"/>
        <w:keepLines w:val="0"/>
        <w:widowControl/>
        <w:suppressLineNumbers w:val="0"/>
        <w:ind w:firstLine="930" w:firstLineChars="300"/>
        <w:jc w:val="left"/>
        <w:rPr>
          <w:color w:val="auto"/>
        </w:rPr>
      </w:pPr>
      <w:r>
        <w:rPr>
          <w:rFonts w:hint="eastAsia" w:ascii="宋体" w:hAnsi="宋体" w:eastAsia="宋体" w:cs="宋体"/>
          <w:color w:val="auto"/>
          <w:kern w:val="0"/>
          <w:sz w:val="31"/>
          <w:szCs w:val="31"/>
          <w:lang w:val="en-US" w:eastAsia="zh-CN" w:bidi="ar"/>
        </w:rPr>
        <w:t>1、</w:t>
      </w:r>
      <w:r>
        <w:rPr>
          <w:rFonts w:hint="eastAsia" w:ascii="仿宋_GB2312" w:hAnsi="宋体" w:eastAsia="仿宋_GB2312" w:cs="仿宋_GB2312"/>
          <w:color w:val="auto"/>
          <w:kern w:val="0"/>
          <w:sz w:val="31"/>
          <w:szCs w:val="31"/>
          <w:lang w:val="en-US" w:eastAsia="zh-CN" w:bidi="ar"/>
        </w:rPr>
        <w:t>加强项目实施过程管理，以质量管理为目标，合同管理为主线，成本控制为重点，加快转变项目管理方式，保证项目执行进度，提高资金使</w:t>
      </w:r>
      <w:r>
        <w:rPr>
          <w:rFonts w:hint="eastAsia" w:ascii="仿宋_GB2312" w:hAnsi="宋体" w:eastAsia="仿宋_GB2312" w:cs="仿宋_GB2312"/>
          <w:b w:val="0"/>
          <w:bCs w:val="0"/>
          <w:color w:val="auto"/>
          <w:kern w:val="0"/>
          <w:sz w:val="31"/>
          <w:szCs w:val="31"/>
          <w:lang w:val="en-US" w:eastAsia="zh-CN" w:bidi="ar"/>
        </w:rPr>
        <w:t>用效益。</w:t>
      </w:r>
      <w:r>
        <w:rPr>
          <w:rFonts w:hint="eastAsia" w:ascii="仿宋_GB2312" w:hAnsi="宋体" w:cs="仿宋_GB2312"/>
          <w:b w:val="0"/>
          <w:bCs w:val="0"/>
          <w:color w:val="auto"/>
          <w:kern w:val="0"/>
          <w:sz w:val="31"/>
          <w:szCs w:val="31"/>
          <w:lang w:val="en-US" w:eastAsia="zh-CN" w:bidi="ar"/>
        </w:rPr>
        <w:t>2、</w:t>
      </w:r>
      <w:r>
        <w:rPr>
          <w:rFonts w:hint="eastAsia" w:ascii="仿宋_GB2312" w:hAnsi="宋体" w:eastAsia="仿宋_GB2312" w:cs="仿宋_GB2312"/>
          <w:b w:val="0"/>
          <w:bCs w:val="0"/>
          <w:color w:val="auto"/>
          <w:kern w:val="0"/>
          <w:sz w:val="31"/>
          <w:szCs w:val="31"/>
          <w:lang w:val="en-US" w:eastAsia="zh-CN" w:bidi="ar"/>
        </w:rPr>
        <w:t>结合部门职能定位，进一步修订完善专 项资金管理细则。建立科学完</w:t>
      </w:r>
      <w:r>
        <w:rPr>
          <w:rFonts w:hint="eastAsia" w:ascii="仿宋_GB2312" w:hAnsi="宋体" w:eastAsia="仿宋_GB2312" w:cs="仿宋_GB2312"/>
          <w:color w:val="auto"/>
          <w:kern w:val="0"/>
          <w:sz w:val="31"/>
          <w:szCs w:val="31"/>
          <w:lang w:val="en-US" w:eastAsia="zh-CN" w:bidi="ar"/>
        </w:rPr>
        <w:t>善的专项实施监督管理机制，确保专项实施内容决策科学、执行管理规范。</w:t>
      </w:r>
      <w:r>
        <w:rPr>
          <w:rFonts w:hint="eastAsia" w:ascii="仿宋_GB2312" w:hAnsi="宋体" w:cs="仿宋_GB2312"/>
          <w:color w:val="auto"/>
          <w:kern w:val="0"/>
          <w:sz w:val="31"/>
          <w:szCs w:val="31"/>
          <w:lang w:val="en-US" w:eastAsia="zh-CN" w:bidi="ar"/>
        </w:rPr>
        <w:t>3、</w:t>
      </w:r>
      <w:r>
        <w:rPr>
          <w:rFonts w:hint="eastAsia" w:ascii="仿宋_GB2312" w:hAnsi="宋体" w:eastAsia="仿宋_GB2312" w:cs="仿宋_GB2312"/>
          <w:color w:val="auto"/>
          <w:kern w:val="0"/>
          <w:sz w:val="31"/>
          <w:szCs w:val="31"/>
          <w:lang w:val="en-US" w:eastAsia="zh-CN" w:bidi="ar"/>
        </w:rPr>
        <w:t xml:space="preserve">规范执行部门财 </w:t>
      </w:r>
    </w:p>
    <w:p>
      <w:pPr>
        <w:keepNext w:val="0"/>
        <w:keepLines w:val="0"/>
        <w:widowControl/>
        <w:suppressLineNumbers w:val="0"/>
        <w:jc w:val="left"/>
        <w:rPr>
          <w:color w:val="auto"/>
        </w:rPr>
      </w:pPr>
      <w:r>
        <w:rPr>
          <w:rFonts w:hint="eastAsia" w:ascii="仿宋_GB2312" w:hAnsi="宋体" w:eastAsia="仿宋_GB2312" w:cs="仿宋_GB2312"/>
          <w:color w:val="auto"/>
          <w:kern w:val="0"/>
          <w:sz w:val="31"/>
          <w:szCs w:val="31"/>
          <w:lang w:val="en-US" w:eastAsia="zh-CN" w:bidi="ar"/>
        </w:rPr>
        <w:t xml:space="preserve">务管理相关制度要求，确保预算资金支出方向明确、程序合规、 </w:t>
      </w:r>
    </w:p>
    <w:p>
      <w:pPr>
        <w:keepNext w:val="0"/>
        <w:keepLines w:val="0"/>
        <w:widowControl/>
        <w:suppressLineNumbers w:val="0"/>
        <w:jc w:val="left"/>
        <w:rPr>
          <w:color w:val="auto"/>
        </w:rPr>
      </w:pPr>
      <w:r>
        <w:rPr>
          <w:rFonts w:hint="eastAsia" w:ascii="仿宋_GB2312" w:hAnsi="宋体" w:eastAsia="仿宋_GB2312" w:cs="仿宋_GB2312"/>
          <w:color w:val="auto"/>
          <w:kern w:val="0"/>
          <w:sz w:val="31"/>
          <w:szCs w:val="31"/>
          <w:lang w:val="en-US" w:eastAsia="zh-CN" w:bidi="ar"/>
        </w:rPr>
        <w:t xml:space="preserve">会计核算规范，切实提高财务管理水平；加强资金使用合规性审 </w:t>
      </w:r>
    </w:p>
    <w:p>
      <w:pPr>
        <w:keepNext w:val="0"/>
        <w:keepLines w:val="0"/>
        <w:widowControl/>
        <w:suppressLineNumbers w:val="0"/>
        <w:jc w:val="left"/>
        <w:rPr>
          <w:color w:val="auto"/>
        </w:rPr>
      </w:pPr>
      <w:r>
        <w:rPr>
          <w:rFonts w:hint="eastAsia" w:ascii="仿宋_GB2312" w:hAnsi="宋体" w:eastAsia="仿宋_GB2312" w:cs="仿宋_GB2312"/>
          <w:color w:val="auto"/>
          <w:kern w:val="0"/>
          <w:sz w:val="31"/>
          <w:szCs w:val="31"/>
          <w:lang w:val="en-US" w:eastAsia="zh-CN" w:bidi="ar"/>
        </w:rPr>
        <w:t>查</w:t>
      </w:r>
      <w:r>
        <w:rPr>
          <w:rFonts w:hint="eastAsia" w:ascii="仿宋_GB2312" w:hAnsi="宋体" w:cs="仿宋_GB2312"/>
          <w:color w:val="auto"/>
          <w:kern w:val="0"/>
          <w:sz w:val="31"/>
          <w:szCs w:val="31"/>
          <w:lang w:val="en-US" w:eastAsia="zh-CN" w:bidi="ar"/>
        </w:rPr>
        <w:t>。</w:t>
      </w:r>
    </w:p>
    <w:p>
      <w:pPr>
        <w:adjustRightInd w:val="0"/>
        <w:spacing w:line="560" w:lineRule="exact"/>
        <w:ind w:firstLine="640" w:firstLineChars="200"/>
        <w:rPr>
          <w:rFonts w:hint="eastAsia" w:ascii="黑体" w:hAnsi="黑体" w:eastAsia="黑体" w:cs="黑体"/>
          <w:bCs/>
          <w:color w:val="auto"/>
          <w:sz w:val="32"/>
          <w:szCs w:val="32"/>
        </w:rPr>
      </w:pPr>
      <w:r>
        <w:rPr>
          <w:rFonts w:hint="eastAsia" w:ascii="黑体" w:hAnsi="黑体" w:eastAsia="黑体" w:cs="黑体"/>
          <w:bCs/>
          <w:color w:val="auto"/>
          <w:sz w:val="32"/>
          <w:szCs w:val="32"/>
        </w:rPr>
        <w:t>六、部门整体绩效自评结果拟应用和公开情况</w:t>
      </w:r>
    </w:p>
    <w:p>
      <w:pPr>
        <w:numPr>
          <w:ilvl w:val="0"/>
          <w:numId w:val="0"/>
        </w:numPr>
        <w:adjustRightInd w:val="0"/>
        <w:spacing w:line="560" w:lineRule="exact"/>
        <w:ind w:firstLine="320" w:firstLineChars="100"/>
        <w:rPr>
          <w:rFonts w:hint="eastAsia" w:ascii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/>
          <w:color w:val="auto"/>
          <w:sz w:val="32"/>
          <w:szCs w:val="32"/>
          <w:lang w:val="en-US" w:eastAsia="zh-CN"/>
        </w:rPr>
        <w:t xml:space="preserve"> (一）以绩效评价结果应用为目标，坚持报告与公开相结合为加强绩效评价结果的应用，根据平顶山市财政局的要求，</w:t>
      </w:r>
      <w:bookmarkStart w:id="0" w:name="_GoBack"/>
      <w:bookmarkEnd w:id="0"/>
      <w:r>
        <w:rPr>
          <w:rFonts w:hint="eastAsia" w:ascii="仿宋_GB2312"/>
          <w:color w:val="auto"/>
          <w:sz w:val="32"/>
          <w:szCs w:val="32"/>
          <w:lang w:val="en-US" w:eastAsia="zh-CN"/>
        </w:rPr>
        <w:t>2022年度将本部门整体绩效自评报告及自评表按时上报财政局，将绩效评价结果应用于下一年的预算编制。</w:t>
      </w:r>
    </w:p>
    <w:p>
      <w:pPr>
        <w:numPr>
          <w:ilvl w:val="0"/>
          <w:numId w:val="0"/>
        </w:numPr>
        <w:adjustRightInd w:val="0"/>
        <w:spacing w:line="560" w:lineRule="exact"/>
        <w:ind w:firstLine="640" w:firstLineChars="200"/>
        <w:rPr>
          <w:rFonts w:hint="eastAsia" w:ascii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/>
          <w:color w:val="auto"/>
          <w:sz w:val="32"/>
          <w:szCs w:val="32"/>
          <w:lang w:val="en-US" w:eastAsia="zh-CN"/>
        </w:rPr>
        <w:t>(二）以绩效评价反馈问题为导向，提出整改的思路和办法根据绩效自评结果，要求各业务单位进一步分析绩效目标未完成的原因，发现部门工作存在的问题，提出整改思路和解决办法，结合问卷中社会公众的相关意见和建议，以问题为导向，扎实推进我局各项工作发展。</w:t>
      </w:r>
    </w:p>
    <w:p>
      <w:pPr>
        <w:adjustRightInd w:val="0"/>
        <w:spacing w:line="560" w:lineRule="exact"/>
        <w:ind w:firstLine="640" w:firstLineChars="200"/>
        <w:rPr>
          <w:rFonts w:hint="eastAsia" w:ascii="黑体" w:hAnsi="黑体" w:eastAsia="黑体" w:cs="黑体"/>
          <w:bCs/>
          <w:color w:val="auto"/>
          <w:sz w:val="32"/>
          <w:szCs w:val="32"/>
        </w:rPr>
      </w:pPr>
      <w:r>
        <w:rPr>
          <w:rFonts w:hint="eastAsia" w:ascii="黑体" w:hAnsi="黑体" w:eastAsia="黑体" w:cs="黑体"/>
          <w:bCs/>
          <w:color w:val="auto"/>
          <w:sz w:val="32"/>
          <w:szCs w:val="32"/>
        </w:rPr>
        <w:t>七、部门整体绩效自评工作的经验、问题和建议</w:t>
      </w:r>
    </w:p>
    <w:p>
      <w:pPr>
        <w:numPr>
          <w:ilvl w:val="0"/>
          <w:numId w:val="0"/>
        </w:numPr>
        <w:adjustRightInd w:val="0"/>
        <w:spacing w:line="560" w:lineRule="exact"/>
        <w:ind w:firstLine="640" w:firstLineChars="200"/>
        <w:rPr>
          <w:rFonts w:hint="eastAsia" w:ascii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/>
          <w:color w:val="auto"/>
          <w:sz w:val="32"/>
          <w:szCs w:val="32"/>
          <w:lang w:val="en-US" w:eastAsia="zh-CN"/>
        </w:rPr>
        <w:t>(一）绩效自评工作经验和问题</w:t>
      </w:r>
    </w:p>
    <w:p>
      <w:pPr>
        <w:numPr>
          <w:ilvl w:val="0"/>
          <w:numId w:val="0"/>
        </w:numPr>
        <w:adjustRightInd w:val="0"/>
        <w:spacing w:line="560" w:lineRule="exact"/>
        <w:ind w:firstLine="320" w:firstLineChars="100"/>
        <w:rPr>
          <w:rFonts w:hint="eastAsia" w:ascii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/>
          <w:color w:val="auto"/>
          <w:sz w:val="32"/>
          <w:szCs w:val="32"/>
          <w:lang w:val="en-US" w:eastAsia="zh-CN"/>
        </w:rPr>
        <w:t>我单位通过此次部门整体绩效自评，我单位充分了解到本级部门的整体运行情况和工作开展进度、成效及不足。为我单位今后的工作规划提供了借鉴、能够指导今后工作实际开展，促使我单位内部管理的系统化和规范化。</w:t>
      </w:r>
    </w:p>
    <w:p>
      <w:pPr>
        <w:keepNext w:val="0"/>
        <w:keepLines w:val="0"/>
        <w:widowControl/>
        <w:suppressLineNumbers w:val="0"/>
        <w:ind w:firstLine="640" w:firstLineChars="200"/>
        <w:jc w:val="left"/>
        <w:rPr>
          <w:color w:val="auto"/>
        </w:rPr>
      </w:pPr>
      <w:r>
        <w:rPr>
          <w:rFonts w:hint="eastAsia" w:ascii="仿宋_GB2312"/>
          <w:color w:val="auto"/>
          <w:sz w:val="32"/>
          <w:szCs w:val="32"/>
          <w:lang w:val="en-US" w:eastAsia="zh-CN"/>
        </w:rPr>
        <w:t>1.取得的经验主要有：</w:t>
      </w:r>
      <w:r>
        <w:rPr>
          <w:rFonts w:hint="eastAsia" w:ascii="仿宋_GB2312" w:hAnsi="宋体" w:cs="仿宋_GB2312"/>
          <w:color w:val="auto"/>
          <w:kern w:val="0"/>
          <w:sz w:val="31"/>
          <w:szCs w:val="31"/>
          <w:lang w:val="en-US" w:eastAsia="zh-CN" w:bidi="ar"/>
        </w:rPr>
        <w:t>力争</w:t>
      </w:r>
      <w:r>
        <w:rPr>
          <w:rFonts w:hint="eastAsia" w:ascii="仿宋_GB2312" w:hAnsi="宋体" w:eastAsia="仿宋_GB2312" w:cs="仿宋_GB2312"/>
          <w:color w:val="auto"/>
          <w:kern w:val="0"/>
          <w:sz w:val="31"/>
          <w:szCs w:val="31"/>
          <w:lang w:val="en-US" w:eastAsia="zh-CN" w:bidi="ar"/>
        </w:rPr>
        <w:t>在建立全流程预算绩效管理制度的基础上，提高全过程预算绩 效管理成效，优化制度内容，形成符合实际的预算绩效管理体系。 加强预算绩效管理理论与专业知识的培</w:t>
      </w:r>
      <w:r>
        <w:rPr>
          <w:rFonts w:hint="eastAsia" w:ascii="宋体" w:hAnsi="宋体" w:eastAsia="宋体" w:cs="宋体"/>
          <w:color w:val="auto"/>
          <w:kern w:val="0"/>
          <w:sz w:val="31"/>
          <w:szCs w:val="31"/>
          <w:lang w:val="en-US" w:eastAsia="zh-CN" w:bidi="ar"/>
        </w:rPr>
        <w:t>训</w:t>
      </w:r>
      <w:r>
        <w:rPr>
          <w:rFonts w:hint="eastAsia" w:ascii="仿宋_GB2312" w:hAnsi="宋体" w:eastAsia="仿宋_GB2312" w:cs="仿宋_GB2312"/>
          <w:color w:val="auto"/>
          <w:kern w:val="0"/>
          <w:sz w:val="31"/>
          <w:szCs w:val="31"/>
          <w:lang w:val="en-US" w:eastAsia="zh-CN" w:bidi="ar"/>
        </w:rPr>
        <w:t>，提高部门全员绩效管理意识与水平。深化绩效评价结果应用，提升绩效目标设置内容的科学性与约</w:t>
      </w:r>
      <w:r>
        <w:rPr>
          <w:rFonts w:hint="eastAsia" w:ascii="宋体" w:hAnsi="宋体" w:eastAsia="宋体" w:cs="宋体"/>
          <w:color w:val="auto"/>
          <w:kern w:val="0"/>
          <w:sz w:val="31"/>
          <w:szCs w:val="31"/>
          <w:lang w:val="en-US" w:eastAsia="zh-CN" w:bidi="ar"/>
        </w:rPr>
        <w:t>束</w:t>
      </w:r>
      <w:r>
        <w:rPr>
          <w:rFonts w:hint="eastAsia" w:ascii="仿宋_GB2312" w:hAnsi="宋体" w:eastAsia="仿宋_GB2312" w:cs="仿宋_GB2312"/>
          <w:color w:val="auto"/>
          <w:kern w:val="0"/>
          <w:sz w:val="31"/>
          <w:szCs w:val="31"/>
          <w:lang w:val="en-US" w:eastAsia="zh-CN" w:bidi="ar"/>
        </w:rPr>
        <w:t>力，加强预算管理、强化支出责任、提升绩效管理水平，提高财政资金使用效益</w:t>
      </w:r>
      <w:r>
        <w:rPr>
          <w:rFonts w:hint="eastAsia" w:ascii="仿宋_GB2312" w:hAnsi="宋体" w:cs="仿宋_GB2312"/>
          <w:color w:val="auto"/>
          <w:kern w:val="0"/>
          <w:sz w:val="31"/>
          <w:szCs w:val="31"/>
          <w:lang w:val="en-US" w:eastAsia="zh-CN" w:bidi="ar"/>
        </w:rPr>
        <w:t>。</w:t>
      </w:r>
    </w:p>
    <w:p>
      <w:pPr>
        <w:numPr>
          <w:ilvl w:val="0"/>
          <w:numId w:val="0"/>
        </w:numPr>
        <w:adjustRightInd w:val="0"/>
        <w:spacing w:line="560" w:lineRule="exact"/>
        <w:ind w:firstLine="640" w:firstLineChars="200"/>
        <w:rPr>
          <w:rFonts w:hint="eastAsia" w:ascii="仿宋_GB2312" w:hAnsi="宋体" w:cs="仿宋_GB2312"/>
          <w:color w:val="auto"/>
          <w:kern w:val="0"/>
          <w:sz w:val="31"/>
          <w:szCs w:val="31"/>
          <w:lang w:val="en-US" w:eastAsia="zh-CN" w:bidi="ar"/>
        </w:rPr>
      </w:pPr>
      <w:r>
        <w:rPr>
          <w:rFonts w:hint="eastAsia" w:ascii="仿宋_GB2312"/>
          <w:color w:val="auto"/>
          <w:sz w:val="32"/>
          <w:szCs w:val="32"/>
          <w:lang w:val="en-US" w:eastAsia="zh-CN"/>
        </w:rPr>
        <w:t>2.存在的主要问题有：</w:t>
      </w:r>
      <w:r>
        <w:rPr>
          <w:rFonts w:ascii="仿宋_GB2312" w:hAnsi="宋体" w:eastAsia="仿宋_GB2312" w:cs="仿宋_GB2312"/>
          <w:color w:val="auto"/>
          <w:kern w:val="0"/>
          <w:sz w:val="31"/>
          <w:szCs w:val="31"/>
          <w:lang w:val="en-US" w:eastAsia="zh-CN" w:bidi="ar"/>
        </w:rPr>
        <w:t>项目支出管理有待加强</w:t>
      </w:r>
      <w:r>
        <w:rPr>
          <w:rFonts w:hint="eastAsia" w:ascii="仿宋_GB2312" w:hAnsi="宋体" w:cs="仿宋_GB2312"/>
          <w:color w:val="auto"/>
          <w:kern w:val="0"/>
          <w:sz w:val="31"/>
          <w:szCs w:val="31"/>
          <w:lang w:val="en-US" w:eastAsia="zh-CN" w:bidi="ar"/>
        </w:rPr>
        <w:t>，</w:t>
      </w:r>
      <w:r>
        <w:rPr>
          <w:rFonts w:ascii="仿宋_GB2312" w:hAnsi="宋体" w:eastAsia="仿宋_GB2312" w:cs="仿宋_GB2312"/>
          <w:color w:val="auto"/>
          <w:kern w:val="0"/>
          <w:sz w:val="31"/>
          <w:szCs w:val="31"/>
          <w:lang w:val="en-US" w:eastAsia="zh-CN" w:bidi="ar"/>
        </w:rPr>
        <w:t>资金使用效益</w:t>
      </w:r>
      <w:r>
        <w:rPr>
          <w:rFonts w:hint="eastAsia" w:ascii="仿宋_GB2312" w:hAnsi="宋体" w:cs="仿宋_GB2312"/>
          <w:color w:val="auto"/>
          <w:kern w:val="0"/>
          <w:sz w:val="31"/>
          <w:szCs w:val="31"/>
          <w:lang w:val="en-US" w:eastAsia="zh-CN" w:bidi="ar"/>
        </w:rPr>
        <w:t>有待加强等。</w:t>
      </w:r>
    </w:p>
    <w:p>
      <w:pPr>
        <w:numPr>
          <w:ilvl w:val="0"/>
          <w:numId w:val="0"/>
        </w:numPr>
        <w:adjustRightInd w:val="0"/>
        <w:spacing w:line="560" w:lineRule="exact"/>
        <w:ind w:firstLine="640" w:firstLineChars="200"/>
        <w:rPr>
          <w:rFonts w:hint="eastAsia" w:ascii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/>
          <w:color w:val="auto"/>
          <w:sz w:val="32"/>
          <w:szCs w:val="32"/>
          <w:lang w:val="en-US" w:eastAsia="zh-CN"/>
        </w:rPr>
        <w:t>(二）针对问题的有关建议</w:t>
      </w:r>
    </w:p>
    <w:p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/>
          <w:color w:val="auto"/>
          <w:sz w:val="32"/>
          <w:szCs w:val="32"/>
          <w:lang w:val="en-US" w:eastAsia="zh-CN"/>
        </w:rPr>
        <w:t>通过此次绩效自，我单位意识到自身需加强绩效管理，培养工作人员的绩效管理意识，增加相关人员绩效管理知识性和系统性的培训，使今后绩效管理的工作能够更好的开展，针对存在的问题，建议如下：</w:t>
      </w:r>
      <w:r>
        <w:rPr>
          <w:rFonts w:ascii="仿宋_GB2312" w:hAnsi="宋体" w:eastAsia="仿宋_GB2312" w:cs="仿宋_GB2312"/>
          <w:color w:val="auto"/>
          <w:kern w:val="0"/>
          <w:sz w:val="31"/>
          <w:szCs w:val="31"/>
          <w:lang w:val="en-US" w:eastAsia="zh-CN" w:bidi="ar"/>
        </w:rPr>
        <w:t>合理制定培</w:t>
      </w:r>
      <w:r>
        <w:rPr>
          <w:rFonts w:hint="eastAsia" w:ascii="宋体" w:hAnsi="宋体" w:eastAsia="宋体" w:cs="宋体"/>
          <w:color w:val="auto"/>
          <w:kern w:val="0"/>
          <w:sz w:val="31"/>
          <w:szCs w:val="31"/>
          <w:lang w:val="en-US" w:eastAsia="zh-CN" w:bidi="ar"/>
        </w:rPr>
        <w:t>训</w:t>
      </w:r>
      <w:r>
        <w:rPr>
          <w:rFonts w:hint="eastAsia" w:ascii="仿宋_GB2312" w:hAnsi="宋体" w:eastAsia="仿宋_GB2312" w:cs="仿宋_GB2312"/>
          <w:color w:val="auto"/>
          <w:kern w:val="0"/>
          <w:sz w:val="31"/>
          <w:szCs w:val="31"/>
          <w:lang w:val="en-US" w:eastAsia="zh-CN" w:bidi="ar"/>
        </w:rPr>
        <w:t>计划，提升人</w:t>
      </w:r>
      <w:r>
        <w:rPr>
          <w:rFonts w:hint="eastAsia" w:ascii="宋体" w:hAnsi="宋体" w:eastAsia="宋体" w:cs="宋体"/>
          <w:color w:val="auto"/>
          <w:kern w:val="0"/>
          <w:sz w:val="31"/>
          <w:szCs w:val="31"/>
          <w:lang w:val="en-US" w:eastAsia="zh-CN" w:bidi="ar"/>
        </w:rPr>
        <w:t>才队伍</w:t>
      </w:r>
      <w:r>
        <w:rPr>
          <w:rFonts w:hint="eastAsia" w:ascii="仿宋_GB2312" w:hAnsi="宋体" w:eastAsia="仿宋_GB2312" w:cs="仿宋_GB2312"/>
          <w:color w:val="auto"/>
          <w:kern w:val="0"/>
          <w:sz w:val="31"/>
          <w:szCs w:val="31"/>
          <w:lang w:val="en-US" w:eastAsia="zh-CN" w:bidi="ar"/>
        </w:rPr>
        <w:t>整体素质。通过组织相关人员参加相关的专题业务培</w:t>
      </w:r>
      <w:r>
        <w:rPr>
          <w:rFonts w:hint="eastAsia" w:ascii="宋体" w:hAnsi="宋体" w:eastAsia="宋体" w:cs="宋体"/>
          <w:color w:val="auto"/>
          <w:kern w:val="0"/>
          <w:sz w:val="31"/>
          <w:szCs w:val="31"/>
          <w:lang w:val="en-US" w:eastAsia="zh-CN" w:bidi="ar"/>
        </w:rPr>
        <w:t>训</w:t>
      </w:r>
      <w:r>
        <w:rPr>
          <w:rFonts w:hint="eastAsia" w:ascii="仿宋_GB2312" w:hAnsi="宋体" w:eastAsia="仿宋_GB2312" w:cs="仿宋_GB2312"/>
          <w:color w:val="auto"/>
          <w:kern w:val="0"/>
          <w:sz w:val="31"/>
          <w:szCs w:val="31"/>
          <w:lang w:val="en-US" w:eastAsia="zh-CN" w:bidi="ar"/>
        </w:rPr>
        <w:t>、</w:t>
      </w:r>
      <w:r>
        <w:rPr>
          <w:rFonts w:hint="eastAsia" w:ascii="宋体" w:hAnsi="宋体" w:eastAsia="宋体" w:cs="宋体"/>
          <w:color w:val="auto"/>
          <w:kern w:val="0"/>
          <w:sz w:val="31"/>
          <w:szCs w:val="31"/>
          <w:lang w:val="en-US" w:eastAsia="zh-CN" w:bidi="ar"/>
        </w:rPr>
        <w:t>讲</w:t>
      </w:r>
      <w:r>
        <w:rPr>
          <w:rFonts w:hint="eastAsia" w:ascii="仿宋_GB2312" w:hAnsi="宋体" w:eastAsia="仿宋_GB2312" w:cs="仿宋_GB2312"/>
          <w:color w:val="auto"/>
          <w:kern w:val="0"/>
          <w:sz w:val="31"/>
          <w:szCs w:val="31"/>
          <w:lang w:val="en-US" w:eastAsia="zh-CN" w:bidi="ar"/>
        </w:rPr>
        <w:t>座、 参加各类信</w:t>
      </w:r>
      <w:r>
        <w:rPr>
          <w:rFonts w:hint="eastAsia" w:ascii="宋体" w:hAnsi="宋体" w:eastAsia="宋体" w:cs="宋体"/>
          <w:color w:val="auto"/>
          <w:kern w:val="0"/>
          <w:sz w:val="31"/>
          <w:szCs w:val="31"/>
          <w:lang w:val="en-US" w:eastAsia="zh-CN" w:bidi="ar"/>
        </w:rPr>
        <w:t>息</w:t>
      </w:r>
      <w:r>
        <w:rPr>
          <w:rFonts w:hint="eastAsia" w:ascii="仿宋_GB2312" w:hAnsi="宋体" w:eastAsia="仿宋_GB2312" w:cs="仿宋_GB2312"/>
          <w:color w:val="auto"/>
          <w:kern w:val="0"/>
          <w:sz w:val="31"/>
          <w:szCs w:val="31"/>
          <w:lang w:val="en-US" w:eastAsia="zh-CN" w:bidi="ar"/>
        </w:rPr>
        <w:t>化论</w:t>
      </w:r>
      <w:r>
        <w:rPr>
          <w:rFonts w:hint="eastAsia" w:ascii="宋体" w:hAnsi="宋体" w:eastAsia="宋体" w:cs="宋体"/>
          <w:color w:val="auto"/>
          <w:kern w:val="0"/>
          <w:sz w:val="31"/>
          <w:szCs w:val="31"/>
          <w:lang w:val="en-US" w:eastAsia="zh-CN" w:bidi="ar"/>
        </w:rPr>
        <w:t>坛</w:t>
      </w:r>
      <w:r>
        <w:rPr>
          <w:rFonts w:hint="eastAsia" w:ascii="仿宋_GB2312" w:hAnsi="宋体" w:eastAsia="仿宋_GB2312" w:cs="仿宋_GB2312"/>
          <w:color w:val="auto"/>
          <w:kern w:val="0"/>
          <w:sz w:val="31"/>
          <w:szCs w:val="31"/>
          <w:lang w:val="en-US" w:eastAsia="zh-CN" w:bidi="ar"/>
        </w:rPr>
        <w:t>等多种途径，对人员进行业务培</w:t>
      </w:r>
      <w:r>
        <w:rPr>
          <w:rFonts w:hint="eastAsia" w:ascii="宋体" w:hAnsi="宋体" w:eastAsia="宋体" w:cs="宋体"/>
          <w:color w:val="auto"/>
          <w:kern w:val="0"/>
          <w:sz w:val="31"/>
          <w:szCs w:val="31"/>
          <w:lang w:val="en-US" w:eastAsia="zh-CN" w:bidi="ar"/>
        </w:rPr>
        <w:t>训</w:t>
      </w:r>
      <w:r>
        <w:rPr>
          <w:rFonts w:hint="eastAsia" w:ascii="仿宋_GB2312" w:hAnsi="宋体" w:eastAsia="仿宋_GB2312" w:cs="仿宋_GB2312"/>
          <w:color w:val="auto"/>
          <w:kern w:val="0"/>
          <w:sz w:val="31"/>
          <w:szCs w:val="31"/>
          <w:lang w:val="en-US" w:eastAsia="zh-CN" w:bidi="ar"/>
        </w:rPr>
        <w:t>学习和能力素质</w:t>
      </w:r>
      <w:r>
        <w:rPr>
          <w:rFonts w:hint="eastAsia" w:ascii="宋体" w:hAnsi="宋体" w:eastAsia="宋体" w:cs="宋体"/>
          <w:color w:val="auto"/>
          <w:kern w:val="0"/>
          <w:sz w:val="31"/>
          <w:szCs w:val="31"/>
          <w:lang w:val="en-US" w:eastAsia="zh-CN" w:bidi="ar"/>
        </w:rPr>
        <w:t>锻炼</w:t>
      </w:r>
      <w:r>
        <w:rPr>
          <w:rFonts w:hint="eastAsia" w:ascii="仿宋_GB2312" w:hAnsi="宋体" w:eastAsia="仿宋_GB2312" w:cs="仿宋_GB2312"/>
          <w:color w:val="auto"/>
          <w:kern w:val="0"/>
          <w:sz w:val="31"/>
          <w:szCs w:val="31"/>
          <w:lang w:val="en-US" w:eastAsia="zh-CN" w:bidi="ar"/>
        </w:rPr>
        <w:t>，提高人员业务理论水平和解决工作实际问题的能力；同时</w:t>
      </w:r>
      <w:r>
        <w:rPr>
          <w:rFonts w:hint="eastAsia" w:ascii="宋体" w:hAnsi="宋体" w:eastAsia="宋体" w:cs="宋体"/>
          <w:color w:val="auto"/>
          <w:kern w:val="0"/>
          <w:sz w:val="31"/>
          <w:szCs w:val="31"/>
          <w:lang w:val="en-US" w:eastAsia="zh-CN" w:bidi="ar"/>
        </w:rPr>
        <w:t>鼓励</w:t>
      </w:r>
      <w:r>
        <w:rPr>
          <w:rFonts w:hint="eastAsia" w:ascii="仿宋_GB2312" w:hAnsi="宋体" w:eastAsia="仿宋_GB2312" w:cs="仿宋_GB2312"/>
          <w:color w:val="auto"/>
          <w:kern w:val="0"/>
          <w:sz w:val="31"/>
          <w:szCs w:val="31"/>
          <w:lang w:val="en-US" w:eastAsia="zh-CN" w:bidi="ar"/>
        </w:rPr>
        <w:t>人员参加各类专业技术职称学习考</w:t>
      </w:r>
      <w:r>
        <w:rPr>
          <w:rFonts w:hint="eastAsia" w:ascii="宋体" w:hAnsi="宋体" w:eastAsia="宋体" w:cs="宋体"/>
          <w:color w:val="auto"/>
          <w:kern w:val="0"/>
          <w:sz w:val="31"/>
          <w:szCs w:val="31"/>
          <w:lang w:val="en-US" w:eastAsia="zh-CN" w:bidi="ar"/>
        </w:rPr>
        <w:t>试</w:t>
      </w:r>
      <w:r>
        <w:rPr>
          <w:rFonts w:hint="eastAsia" w:ascii="仿宋_GB2312" w:hAnsi="宋体" w:eastAsia="仿宋_GB2312" w:cs="仿宋_GB2312"/>
          <w:color w:val="auto"/>
          <w:kern w:val="0"/>
          <w:sz w:val="31"/>
          <w:szCs w:val="31"/>
          <w:lang w:val="en-US" w:eastAsia="zh-CN" w:bidi="ar"/>
        </w:rPr>
        <w:t xml:space="preserve">和继续进行学业 </w:t>
      </w:r>
      <w:r>
        <w:rPr>
          <w:rFonts w:hint="eastAsia" w:ascii="宋体" w:hAnsi="宋体" w:eastAsia="宋体" w:cs="宋体"/>
          <w:color w:val="auto"/>
          <w:kern w:val="0"/>
          <w:sz w:val="31"/>
          <w:szCs w:val="31"/>
          <w:lang w:val="en-US" w:eastAsia="zh-CN" w:bidi="ar"/>
        </w:rPr>
        <w:t>再</w:t>
      </w:r>
      <w:r>
        <w:rPr>
          <w:rFonts w:hint="eastAsia" w:ascii="仿宋_GB2312" w:hAnsi="宋体" w:eastAsia="仿宋_GB2312" w:cs="仿宋_GB2312"/>
          <w:color w:val="auto"/>
          <w:kern w:val="0"/>
          <w:sz w:val="31"/>
          <w:szCs w:val="31"/>
          <w:lang w:val="en-US" w:eastAsia="zh-CN" w:bidi="ar"/>
        </w:rPr>
        <w:t>深造，通过自学和参加各类培</w:t>
      </w:r>
      <w:r>
        <w:rPr>
          <w:rFonts w:hint="eastAsia" w:ascii="宋体" w:hAnsi="宋体" w:eastAsia="宋体" w:cs="宋体"/>
          <w:color w:val="auto"/>
          <w:kern w:val="0"/>
          <w:sz w:val="31"/>
          <w:szCs w:val="31"/>
          <w:lang w:val="en-US" w:eastAsia="zh-CN" w:bidi="ar"/>
        </w:rPr>
        <w:t>训</w:t>
      </w:r>
      <w:r>
        <w:rPr>
          <w:rFonts w:hint="eastAsia" w:ascii="仿宋_GB2312" w:hAnsi="宋体" w:eastAsia="仿宋_GB2312" w:cs="仿宋_GB2312"/>
          <w:color w:val="auto"/>
          <w:kern w:val="0"/>
          <w:sz w:val="31"/>
          <w:szCs w:val="31"/>
          <w:lang w:val="en-US" w:eastAsia="zh-CN" w:bidi="ar"/>
        </w:rPr>
        <w:t>等方式，进一步丰富专业知识， 提高业务水平。</w:t>
      </w:r>
    </w:p>
    <w:p>
      <w:pPr>
        <w:adjustRightInd w:val="0"/>
        <w:spacing w:line="560" w:lineRule="exact"/>
        <w:ind w:firstLine="640" w:firstLineChars="200"/>
        <w:rPr>
          <w:rFonts w:hint="eastAsia" w:ascii="黑体" w:hAnsi="黑体" w:eastAsia="黑体" w:cs="黑体"/>
          <w:bCs/>
          <w:color w:val="auto"/>
          <w:sz w:val="32"/>
          <w:szCs w:val="32"/>
        </w:rPr>
      </w:pPr>
      <w:r>
        <w:rPr>
          <w:rFonts w:hint="eastAsia" w:ascii="黑体" w:hAnsi="黑体" w:eastAsia="黑体" w:cs="黑体"/>
          <w:bCs/>
          <w:color w:val="auto"/>
          <w:sz w:val="32"/>
          <w:szCs w:val="32"/>
        </w:rPr>
        <w:t>八、其他需要说明的问题</w:t>
      </w:r>
    </w:p>
    <w:p>
      <w:pPr>
        <w:adjustRightInd w:val="0"/>
        <w:spacing w:line="560" w:lineRule="exact"/>
        <w:ind w:firstLine="900" w:firstLineChars="300"/>
        <w:rPr>
          <w:rFonts w:hint="eastAsia" w:eastAsia="仿宋_GB2312"/>
          <w:color w:val="auto"/>
          <w:lang w:eastAsia="zh-CN"/>
        </w:rPr>
      </w:pPr>
      <w:r>
        <w:rPr>
          <w:rFonts w:hint="eastAsia"/>
          <w:color w:val="auto"/>
          <w:lang w:eastAsia="zh-CN"/>
        </w:rPr>
        <w:t>无。</w:t>
      </w:r>
    </w:p>
    <w:sectPr>
      <w:footerReference r:id="rId3" w:type="default"/>
      <w:footerReference r:id="rId4" w:type="even"/>
      <w:pgSz w:w="11906" w:h="16838"/>
      <w:pgMar w:top="2098" w:right="1474" w:bottom="1984" w:left="1587" w:header="851" w:footer="1588" w:gutter="0"/>
      <w:cols w:space="720" w:num="1"/>
      <w:docGrid w:type="lines" w:linePitch="579" w:charSpace="-532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26DD3508-FD0A-4A98-8C61-AB6782D3CA0E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B7E91309-9763-4B61-9B25-66FFD0AE1D80}"/>
  </w:font>
  <w:font w:name="方正小标宋_GBK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3" w:fontKey="{552C668A-8C50-4FC2-85D7-51DAB82850E1}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  <w:embedRegular r:id="rId4" w:fontKey="{F8B6E5F3-4FC8-4022-AC51-1F6B56BCEE39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S PGothic">
    <w:panose1 w:val="020B0600070205080204"/>
    <w:charset w:val="80"/>
    <w:family w:val="auto"/>
    <w:pitch w:val="default"/>
    <w:sig w:usb0="E00002FF" w:usb1="6AC7FDFB" w:usb2="00000012" w:usb3="00000000" w:csb0="4002009F" w:csb1="DFD7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8768285"/>
      <w:docPartObj>
        <w:docPartGallery w:val="autotext"/>
      </w:docPartObj>
    </w:sdtPr>
    <w:sdtEndPr>
      <w:rPr>
        <w:rFonts w:asciiTheme="minorEastAsia" w:hAnsiTheme="minorEastAsia" w:eastAsiaTheme="minorEastAsia"/>
        <w:sz w:val="28"/>
        <w:szCs w:val="28"/>
      </w:rPr>
    </w:sdtEndPr>
    <w:sdtContent>
      <w:p>
        <w:pPr>
          <w:pStyle w:val="3"/>
          <w:ind w:right="276" w:rightChars="92"/>
          <w:jc w:val="right"/>
        </w:pPr>
        <w:r>
          <w:rPr>
            <w:rFonts w:asciiTheme="minorEastAsia" w:hAnsiTheme="minorEastAsia" w:eastAsiaTheme="minorEastAsia"/>
            <w:sz w:val="28"/>
            <w:szCs w:val="28"/>
          </w:rPr>
          <w:t>—</w:t>
        </w:r>
        <w:r>
          <w:rPr>
            <w:rFonts w:hint="eastAsia" w:asciiTheme="minorEastAsia" w:hAnsiTheme="minorEastAsia" w:eastAsiaTheme="minorEastAsia"/>
            <w:sz w:val="28"/>
            <w:szCs w:val="28"/>
          </w:rPr>
          <w:t xml:space="preserve"> </w:t>
        </w:r>
        <w:r>
          <w:rPr>
            <w:rFonts w:asciiTheme="minorEastAsia" w:hAnsiTheme="minorEastAsia" w:eastAsiaTheme="minorEastAsia"/>
            <w:sz w:val="28"/>
            <w:szCs w:val="28"/>
          </w:rPr>
          <w:fldChar w:fldCharType="begin"/>
        </w:r>
        <w:r>
          <w:rPr>
            <w:rFonts w:asciiTheme="minorEastAsia" w:hAnsiTheme="minorEastAsia" w:eastAsiaTheme="minorEastAsia"/>
            <w:sz w:val="28"/>
            <w:szCs w:val="28"/>
          </w:rPr>
          <w:instrText xml:space="preserve"> PAGE   \* MERGEFORMAT </w:instrText>
        </w:r>
        <w:r>
          <w:rPr>
            <w:rFonts w:asciiTheme="minorEastAsia" w:hAnsiTheme="minorEastAsia" w:eastAsiaTheme="minorEastAsia"/>
            <w:sz w:val="28"/>
            <w:szCs w:val="28"/>
          </w:rPr>
          <w:fldChar w:fldCharType="separate"/>
        </w:r>
        <w:r>
          <w:rPr>
            <w:rFonts w:asciiTheme="minorEastAsia" w:hAnsiTheme="minorEastAsia" w:eastAsiaTheme="minorEastAsia"/>
            <w:sz w:val="28"/>
            <w:szCs w:val="28"/>
            <w:lang w:val="zh-CN"/>
          </w:rPr>
          <w:t>1</w:t>
        </w:r>
        <w:r>
          <w:rPr>
            <w:rFonts w:asciiTheme="minorEastAsia" w:hAnsiTheme="minorEastAsia" w:eastAsiaTheme="minorEastAsia"/>
            <w:sz w:val="28"/>
            <w:szCs w:val="28"/>
          </w:rPr>
          <w:fldChar w:fldCharType="end"/>
        </w:r>
        <w:r>
          <w:rPr>
            <w:rFonts w:hint="eastAsia" w:asciiTheme="minorEastAsia" w:hAnsiTheme="minorEastAsia" w:eastAsiaTheme="minorEastAsia"/>
            <w:sz w:val="28"/>
            <w:szCs w:val="28"/>
          </w:rPr>
          <w:t xml:space="preserve"> </w:t>
        </w:r>
        <w:r>
          <w:rPr>
            <w:rFonts w:asciiTheme="minorEastAsia" w:hAnsiTheme="minorEastAsia" w:eastAsiaTheme="minorEastAsia"/>
            <w:sz w:val="28"/>
            <w:szCs w:val="28"/>
          </w:rPr>
          <w:t>—</w:t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asciiTheme="majorEastAsia" w:hAnsiTheme="majorEastAsia" w:eastAsiaTheme="majorEastAsia"/>
        <w:sz w:val="28"/>
        <w:szCs w:val="28"/>
      </w:rPr>
      <w:id w:val="28768287"/>
      <w:docPartObj>
        <w:docPartGallery w:val="autotext"/>
      </w:docPartObj>
    </w:sdtPr>
    <w:sdtEndPr>
      <w:rPr>
        <w:rFonts w:asciiTheme="majorEastAsia" w:hAnsiTheme="majorEastAsia" w:eastAsiaTheme="majorEastAsia"/>
        <w:sz w:val="28"/>
        <w:szCs w:val="28"/>
      </w:rPr>
    </w:sdtEndPr>
    <w:sdtContent>
      <w:p>
        <w:pPr>
          <w:pStyle w:val="3"/>
          <w:ind w:firstLine="280" w:firstLineChars="100"/>
          <w:rPr>
            <w:rFonts w:asciiTheme="majorEastAsia" w:hAnsiTheme="majorEastAsia" w:eastAsiaTheme="majorEastAsia"/>
            <w:sz w:val="28"/>
            <w:szCs w:val="28"/>
          </w:rPr>
        </w:pPr>
        <w:r>
          <w:rPr>
            <w:rFonts w:hint="eastAsia" w:asciiTheme="majorEastAsia" w:hAnsiTheme="majorEastAsia" w:eastAsiaTheme="majorEastAsia"/>
            <w:sz w:val="28"/>
            <w:szCs w:val="28"/>
          </w:rPr>
          <w:t xml:space="preserve">— </w:t>
        </w:r>
        <w:r>
          <w:rPr>
            <w:rFonts w:asciiTheme="majorEastAsia" w:hAnsiTheme="majorEastAsia" w:eastAsiaTheme="majorEastAsia"/>
            <w:sz w:val="28"/>
            <w:szCs w:val="28"/>
          </w:rPr>
          <w:fldChar w:fldCharType="begin"/>
        </w:r>
        <w:r>
          <w:rPr>
            <w:rFonts w:asciiTheme="majorEastAsia" w:hAnsiTheme="majorEastAsia" w:eastAsiaTheme="majorEastAsia"/>
            <w:sz w:val="28"/>
            <w:szCs w:val="28"/>
          </w:rPr>
          <w:instrText xml:space="preserve"> PAGE   \* MERGEFORMAT </w:instrText>
        </w:r>
        <w:r>
          <w:rPr>
            <w:rFonts w:asciiTheme="majorEastAsia" w:hAnsiTheme="majorEastAsia" w:eastAsiaTheme="majorEastAsia"/>
            <w:sz w:val="28"/>
            <w:szCs w:val="28"/>
          </w:rPr>
          <w:fldChar w:fldCharType="separate"/>
        </w:r>
        <w:r>
          <w:rPr>
            <w:rFonts w:asciiTheme="majorEastAsia" w:hAnsiTheme="majorEastAsia" w:eastAsiaTheme="majorEastAsia"/>
            <w:sz w:val="28"/>
            <w:szCs w:val="28"/>
            <w:lang w:val="zh-CN"/>
          </w:rPr>
          <w:t>2</w:t>
        </w:r>
        <w:r>
          <w:rPr>
            <w:rFonts w:asciiTheme="majorEastAsia" w:hAnsiTheme="majorEastAsia" w:eastAsiaTheme="majorEastAsia"/>
            <w:sz w:val="28"/>
            <w:szCs w:val="28"/>
          </w:rPr>
          <w:fldChar w:fldCharType="end"/>
        </w:r>
        <w:r>
          <w:rPr>
            <w:rFonts w:hint="eastAsia" w:asciiTheme="majorEastAsia" w:hAnsiTheme="majorEastAsia" w:eastAsiaTheme="majorEastAsia"/>
            <w:sz w:val="28"/>
            <w:szCs w:val="28"/>
          </w:rPr>
          <w:t xml:space="preserve"> —</w:t>
        </w:r>
      </w:p>
    </w:sdtContent>
  </w:sdt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39DAD16"/>
    <w:multiLevelType w:val="singleLevel"/>
    <w:tmpl w:val="E39DAD16"/>
    <w:lvl w:ilvl="0" w:tentative="0">
      <w:start w:val="3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1F8B0C73"/>
    <w:multiLevelType w:val="singleLevel"/>
    <w:tmpl w:val="1F8B0C73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NotTrackMoves/>
  <w:documentProtection w:enforcement="0"/>
  <w:defaultTabStop w:val="420"/>
  <w:evenAndOddHeaders w:val="1"/>
  <w:drawingGridHorizontalSpacing w:val="137"/>
  <w:drawingGridVerticalSpacing w:val="57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docVars>
    <w:docVar w:name="commondata" w:val="eyJoZGlkIjoiMTZmYTI0Y2M1NmI2OWM4MGI3MzRmNmRlMmJiNDE1Y2QifQ=="/>
  </w:docVars>
  <w:rsids>
    <w:rsidRoot w:val="00C945F1"/>
    <w:rsid w:val="000066F3"/>
    <w:rsid w:val="00007D3D"/>
    <w:rsid w:val="00014178"/>
    <w:rsid w:val="00023C41"/>
    <w:rsid w:val="00025AB1"/>
    <w:rsid w:val="00080926"/>
    <w:rsid w:val="000A50B1"/>
    <w:rsid w:val="000C561F"/>
    <w:rsid w:val="00107096"/>
    <w:rsid w:val="00174027"/>
    <w:rsid w:val="001D0FE8"/>
    <w:rsid w:val="00231F71"/>
    <w:rsid w:val="002329CA"/>
    <w:rsid w:val="002A1601"/>
    <w:rsid w:val="002B25B1"/>
    <w:rsid w:val="0035434B"/>
    <w:rsid w:val="003B17C8"/>
    <w:rsid w:val="00405AE2"/>
    <w:rsid w:val="00405C47"/>
    <w:rsid w:val="004E61B2"/>
    <w:rsid w:val="004E7817"/>
    <w:rsid w:val="005520A5"/>
    <w:rsid w:val="00595B97"/>
    <w:rsid w:val="005A1A96"/>
    <w:rsid w:val="005B6326"/>
    <w:rsid w:val="005D1DFC"/>
    <w:rsid w:val="005E263C"/>
    <w:rsid w:val="006436D9"/>
    <w:rsid w:val="006E016F"/>
    <w:rsid w:val="00735765"/>
    <w:rsid w:val="0084038F"/>
    <w:rsid w:val="0086127D"/>
    <w:rsid w:val="008762B9"/>
    <w:rsid w:val="008F39C6"/>
    <w:rsid w:val="00994F70"/>
    <w:rsid w:val="00AA3097"/>
    <w:rsid w:val="00B06CC7"/>
    <w:rsid w:val="00B12614"/>
    <w:rsid w:val="00B40D97"/>
    <w:rsid w:val="00C47558"/>
    <w:rsid w:val="00C524E0"/>
    <w:rsid w:val="00C86B00"/>
    <w:rsid w:val="00C945F1"/>
    <w:rsid w:val="00CD4B0E"/>
    <w:rsid w:val="00CD50D7"/>
    <w:rsid w:val="00D6561F"/>
    <w:rsid w:val="00D80BA2"/>
    <w:rsid w:val="00E06D11"/>
    <w:rsid w:val="00E2502F"/>
    <w:rsid w:val="00E27F26"/>
    <w:rsid w:val="00EE67E7"/>
    <w:rsid w:val="00F22FE2"/>
    <w:rsid w:val="00F4795B"/>
    <w:rsid w:val="00FB255E"/>
    <w:rsid w:val="00FC3ED4"/>
    <w:rsid w:val="00FE1050"/>
    <w:rsid w:val="00FF1168"/>
    <w:rsid w:val="02480AAF"/>
    <w:rsid w:val="059177AA"/>
    <w:rsid w:val="092669FE"/>
    <w:rsid w:val="0D121DE5"/>
    <w:rsid w:val="172738B9"/>
    <w:rsid w:val="1F856665"/>
    <w:rsid w:val="2096173F"/>
    <w:rsid w:val="249D1405"/>
    <w:rsid w:val="28844922"/>
    <w:rsid w:val="295153F9"/>
    <w:rsid w:val="2ECD071C"/>
    <w:rsid w:val="31D53A02"/>
    <w:rsid w:val="340F30E4"/>
    <w:rsid w:val="3742675C"/>
    <w:rsid w:val="3A7C292F"/>
    <w:rsid w:val="3AB30B17"/>
    <w:rsid w:val="40953E41"/>
    <w:rsid w:val="47355D78"/>
    <w:rsid w:val="485D6448"/>
    <w:rsid w:val="4DCB5040"/>
    <w:rsid w:val="54464CC6"/>
    <w:rsid w:val="56E86456"/>
    <w:rsid w:val="57676FC9"/>
    <w:rsid w:val="60731611"/>
    <w:rsid w:val="60C267F0"/>
    <w:rsid w:val="65A3022C"/>
    <w:rsid w:val="67F77204"/>
    <w:rsid w:val="69A41E76"/>
    <w:rsid w:val="6A8313EC"/>
    <w:rsid w:val="6E317556"/>
    <w:rsid w:val="74F11A1D"/>
    <w:rsid w:val="7E747B3F"/>
    <w:rsid w:val="7F9827E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0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eastAsia="宋体"/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page number"/>
    <w:basedOn w:val="6"/>
    <w:semiHidden/>
    <w:qFormat/>
    <w:uiPriority w:val="0"/>
  </w:style>
  <w:style w:type="character" w:customStyle="1" w:styleId="8">
    <w:name w:val="页眉 Char"/>
    <w:link w:val="4"/>
    <w:semiHidden/>
    <w:qFormat/>
    <w:uiPriority w:val="99"/>
    <w:rPr>
      <w:rFonts w:eastAsia="仿宋_GB2312"/>
      <w:kern w:val="2"/>
      <w:sz w:val="18"/>
      <w:szCs w:val="18"/>
    </w:rPr>
  </w:style>
  <w:style w:type="character" w:customStyle="1" w:styleId="9">
    <w:name w:val="批注框文本 Char"/>
    <w:link w:val="2"/>
    <w:semiHidden/>
    <w:qFormat/>
    <w:uiPriority w:val="99"/>
    <w:rPr>
      <w:rFonts w:eastAsia="仿宋_GB2312"/>
      <w:kern w:val="2"/>
      <w:sz w:val="18"/>
      <w:szCs w:val="18"/>
    </w:rPr>
  </w:style>
  <w:style w:type="character" w:customStyle="1" w:styleId="10">
    <w:name w:val="页脚 Char"/>
    <w:basedOn w:val="6"/>
    <w:link w:val="3"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12</Pages>
  <Words>5346</Words>
  <Characters>5586</Characters>
  <Lines>1</Lines>
  <Paragraphs>1</Paragraphs>
  <TotalTime>9</TotalTime>
  <ScaleCrop>false</ScaleCrop>
  <LinksUpToDate>false</LinksUpToDate>
  <CharactersWithSpaces>5625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2011-02-27T05:26:00Z</dcterms:created>
  <dc:creator>lhn</dc:creator>
  <cp:lastModifiedBy>Administrator</cp:lastModifiedBy>
  <cp:lastPrinted>2023-03-21T08:59:00Z</cp:lastPrinted>
  <dcterms:modified xsi:type="dcterms:W3CDTF">2023-11-09T06:44:12Z</dcterms:modified>
  <dc:title>附件3：          </dc:title>
  <cp:revision>36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8C9F71E61C9244A7B72B95C1E38FEBB9</vt:lpwstr>
  </property>
</Properties>
</file>